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eastAsia="黑体"/>
          <w:color w:val="000000"/>
          <w:sz w:val="28"/>
          <w:szCs w:val="28"/>
        </w:rPr>
      </w:pPr>
    </w:p>
    <w:p>
      <w:pPr>
        <w:jc w:val="center"/>
        <w:rPr>
          <w:rFonts w:hint="eastAsia" w:ascii="黑体" w:hAnsi="黑体" w:eastAsia="黑体" w:cs="黑体"/>
          <w:sz w:val="52"/>
          <w:szCs w:val="52"/>
        </w:rPr>
      </w:pPr>
      <w:r>
        <w:rPr>
          <w:rFonts w:hint="eastAsia" w:ascii="黑体" w:hAnsi="黑体" w:eastAsia="黑体" w:cs="黑体"/>
          <w:sz w:val="52"/>
          <w:szCs w:val="52"/>
        </w:rPr>
        <w:t>信阳市上天梯非金属矿管理区</w:t>
      </w:r>
    </w:p>
    <w:p>
      <w:pPr>
        <w:jc w:val="center"/>
        <w:rPr>
          <w:rFonts w:hint="eastAsia" w:ascii="黑体" w:hAnsi="黑体" w:eastAsia="黑体" w:cs="黑体"/>
          <w:sz w:val="52"/>
          <w:szCs w:val="52"/>
        </w:rPr>
      </w:pPr>
      <w:r>
        <w:rPr>
          <w:rFonts w:hint="eastAsia" w:ascii="黑体" w:hAnsi="黑体" w:eastAsia="黑体" w:cs="黑体"/>
          <w:sz w:val="52"/>
          <w:szCs w:val="52"/>
        </w:rPr>
        <w:t>2020年度部门决算公开</w:t>
      </w:r>
    </w:p>
    <w:p>
      <w:pPr>
        <w:jc w:val="center"/>
        <w:rPr>
          <w:rFonts w:hint="eastAsia" w:ascii="黑体" w:hAnsi="黑体" w:eastAsia="黑体" w:cs="黑体"/>
          <w:sz w:val="52"/>
          <w:szCs w:val="52"/>
        </w:rPr>
      </w:pPr>
    </w:p>
    <w:p>
      <w:pPr>
        <w:jc w:val="center"/>
        <w:rPr>
          <w:rFonts w:hint="eastAsia" w:ascii="黑体" w:hAnsi="黑体" w:eastAsia="黑体" w:cs="黑体"/>
          <w:sz w:val="52"/>
          <w:szCs w:val="52"/>
        </w:rPr>
      </w:pPr>
    </w:p>
    <w:p>
      <w:pPr>
        <w:jc w:val="center"/>
        <w:rPr>
          <w:rFonts w:ascii="黑体" w:hAnsi="黑体" w:eastAsia="黑体" w:cs="黑体"/>
          <w:sz w:val="36"/>
          <w:szCs w:val="36"/>
        </w:rPr>
      </w:pPr>
      <w:r>
        <w:rPr>
          <w:rFonts w:hint="eastAsia" w:ascii="黑体" w:hAnsi="黑体" w:eastAsia="黑体" w:cs="黑体"/>
          <w:sz w:val="36"/>
          <w:szCs w:val="36"/>
        </w:rPr>
        <w:t>目　　录</w:t>
      </w:r>
    </w:p>
    <w:p>
      <w:pPr>
        <w:rPr>
          <w:rFonts w:ascii="黑体" w:hAnsi="黑体" w:eastAsia="黑体" w:cs="黑体"/>
          <w:sz w:val="32"/>
          <w:szCs w:val="32"/>
        </w:rPr>
      </w:pPr>
      <w:r>
        <w:rPr>
          <w:rFonts w:hint="eastAsia" w:ascii="黑体" w:hAnsi="黑体" w:eastAsia="黑体" w:cs="黑体"/>
          <w:sz w:val="32"/>
          <w:szCs w:val="32"/>
        </w:rPr>
        <w:t>第一部分　　</w:t>
      </w:r>
      <w:r>
        <w:rPr>
          <w:rFonts w:hint="eastAsia" w:ascii="黑体" w:hAnsi="黑体" w:eastAsia="黑体" w:cs="黑体"/>
          <w:sz w:val="32"/>
          <w:szCs w:val="32"/>
          <w:lang w:eastAsia="zh-CN"/>
        </w:rPr>
        <w:t>信阳市上天梯非金属矿管理区</w:t>
      </w:r>
      <w:r>
        <w:rPr>
          <w:rFonts w:hint="eastAsia" w:ascii="黑体" w:hAnsi="黑体" w:eastAsia="黑体" w:cs="黑体"/>
          <w:sz w:val="32"/>
          <w:szCs w:val="32"/>
        </w:rPr>
        <w:t>概况</w:t>
      </w:r>
    </w:p>
    <w:p>
      <w:pPr>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部门职责</w:t>
      </w:r>
    </w:p>
    <w:p>
      <w:pPr>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机构设置</w:t>
      </w:r>
    </w:p>
    <w:p>
      <w:pPr>
        <w:rPr>
          <w:rFonts w:hint="eastAsia" w:ascii="黑体" w:hAnsi="黑体" w:eastAsia="黑体" w:cs="黑体"/>
          <w:sz w:val="32"/>
          <w:szCs w:val="32"/>
          <w:lang w:eastAsia="zh-CN"/>
        </w:rPr>
      </w:pPr>
      <w:r>
        <w:rPr>
          <w:rFonts w:hint="eastAsia" w:ascii="黑体" w:hAnsi="黑体" w:eastAsia="黑体" w:cs="黑体"/>
          <w:sz w:val="32"/>
          <w:szCs w:val="32"/>
        </w:rPr>
        <w:t>第二部分　　20</w:t>
      </w:r>
      <w:r>
        <w:rPr>
          <w:rFonts w:hint="eastAsia" w:ascii="黑体" w:hAnsi="黑体" w:eastAsia="黑体" w:cs="黑体"/>
          <w:sz w:val="32"/>
          <w:szCs w:val="32"/>
          <w:lang w:val="en-US" w:eastAsia="zh-CN"/>
        </w:rPr>
        <w:t>20</w:t>
      </w:r>
      <w:r>
        <w:rPr>
          <w:rFonts w:hint="eastAsia" w:ascii="黑体" w:hAnsi="黑体" w:eastAsia="黑体" w:cs="黑体"/>
          <w:sz w:val="32"/>
          <w:szCs w:val="32"/>
        </w:rPr>
        <w:t>年度部门决算情况说明</w:t>
      </w:r>
    </w:p>
    <w:p>
      <w:pPr>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一、收入支出决算总体情况说明</w:t>
      </w:r>
    </w:p>
    <w:p>
      <w:pPr>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二、收入决算情况说明</w:t>
      </w:r>
    </w:p>
    <w:p>
      <w:pPr>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三、支出决算情况说明</w:t>
      </w:r>
    </w:p>
    <w:p>
      <w:pPr>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四、财政拨款收入支出决算总体情况说明</w:t>
      </w:r>
    </w:p>
    <w:p>
      <w:pPr>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五、一般公共预算财政拨款支出决算情况说明</w:t>
      </w:r>
    </w:p>
    <w:p>
      <w:pPr>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六、一般公共预算财政拨款基本支出决算情况说明</w:t>
      </w:r>
    </w:p>
    <w:p>
      <w:pPr>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七、一般公共预算财政拨款“三公”经费支出决算情况说明</w:t>
      </w:r>
    </w:p>
    <w:p>
      <w:pPr>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八</w:t>
      </w:r>
      <w:r>
        <w:rPr>
          <w:rFonts w:hint="eastAsia" w:ascii="仿宋_GB2312" w:hAnsi="仿宋_GB2312" w:eastAsia="仿宋_GB2312" w:cs="仿宋_GB2312"/>
          <w:sz w:val="32"/>
          <w:szCs w:val="32"/>
        </w:rPr>
        <w:t>、政府性基金预算财政拨款支出决算情况说明</w:t>
      </w:r>
    </w:p>
    <w:p>
      <w:pPr>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九</w:t>
      </w:r>
      <w:r>
        <w:rPr>
          <w:rFonts w:hint="eastAsia" w:ascii="仿宋_GB2312" w:hAnsi="仿宋_GB2312" w:eastAsia="仿宋_GB2312" w:cs="仿宋_GB2312"/>
          <w:sz w:val="32"/>
          <w:szCs w:val="32"/>
        </w:rPr>
        <w:t>、机关运行经费支出情况说明</w:t>
      </w:r>
    </w:p>
    <w:p>
      <w:pPr>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十、政府采购支出情况说明</w:t>
      </w:r>
    </w:p>
    <w:p>
      <w:pPr>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w:t>
      </w: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、国有资产占用情况说明</w:t>
      </w:r>
    </w:p>
    <w:p>
      <w:pPr>
        <w:rPr>
          <w:rFonts w:hint="eastAsia" w:ascii="黑体" w:hAnsi="黑体" w:eastAsia="黑体" w:cs="黑体"/>
          <w:sz w:val="32"/>
          <w:szCs w:val="32"/>
        </w:rPr>
      </w:pPr>
      <w:r>
        <w:rPr>
          <w:rFonts w:hint="eastAsia" w:ascii="黑体" w:hAnsi="黑体" w:eastAsia="黑体" w:cs="黑体"/>
          <w:sz w:val="32"/>
          <w:szCs w:val="32"/>
        </w:rPr>
        <w:t>第三部分　　名词解释</w:t>
      </w:r>
    </w:p>
    <w:p>
      <w:pPr>
        <w:rPr>
          <w:rFonts w:ascii="黑体" w:hAnsi="黑体" w:eastAsia="黑体" w:cs="黑体"/>
          <w:sz w:val="32"/>
          <w:szCs w:val="32"/>
        </w:rPr>
      </w:pPr>
      <w:r>
        <w:rPr>
          <w:rFonts w:hint="eastAsia" w:ascii="黑体" w:hAnsi="黑体" w:eastAsia="黑体" w:cs="黑体"/>
          <w:sz w:val="32"/>
          <w:szCs w:val="32"/>
        </w:rPr>
        <w:t>第四部分　　2020年度部门决算表（Excel表格形式）</w:t>
      </w:r>
    </w:p>
    <w:p>
      <w:pPr>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一、收入支出决算总表</w:t>
      </w:r>
    </w:p>
    <w:p>
      <w:pPr>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二、收入决算表</w:t>
      </w:r>
    </w:p>
    <w:p>
      <w:pPr>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三、支出决算表</w:t>
      </w:r>
    </w:p>
    <w:p>
      <w:pPr>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四、财政拨款收入支出决算总表</w:t>
      </w:r>
    </w:p>
    <w:p>
      <w:pPr>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五、一般公共预算财政拨款支出决算表</w:t>
      </w:r>
    </w:p>
    <w:p>
      <w:pPr>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六、一般公共预算财政拨款基本支出决算表</w:t>
      </w:r>
    </w:p>
    <w:p>
      <w:pPr>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七、一般公共预算财政拨款“三公”经费支出决算表</w:t>
      </w:r>
    </w:p>
    <w:p>
      <w:pPr>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八、政府性基金预算财政拨款收入支出决算表</w:t>
      </w:r>
    </w:p>
    <w:p>
      <w:pPr>
        <w:ind w:firstLine="640" w:firstLineChars="200"/>
        <w:jc w:val="left"/>
        <w:rPr>
          <w:rFonts w:hint="eastAsia" w:ascii="仿宋_GB2312" w:hAnsi="仿宋_GB2312" w:eastAsia="仿宋_GB2312" w:cs="仿宋_GB2312"/>
          <w:sz w:val="32"/>
          <w:szCs w:val="32"/>
        </w:rPr>
      </w:pPr>
    </w:p>
    <w:p>
      <w:pPr>
        <w:ind w:firstLine="640" w:firstLineChars="200"/>
        <w:rPr>
          <w:rFonts w:hint="eastAsia"/>
          <w:sz w:val="32"/>
          <w:szCs w:val="32"/>
        </w:rPr>
      </w:pPr>
    </w:p>
    <w:p>
      <w:pPr>
        <w:ind w:firstLine="640" w:firstLineChars="200"/>
        <w:rPr>
          <w:rFonts w:hint="eastAsia"/>
          <w:sz w:val="32"/>
          <w:szCs w:val="32"/>
        </w:rPr>
      </w:pPr>
    </w:p>
    <w:p>
      <w:pPr>
        <w:ind w:firstLine="640" w:firstLineChars="200"/>
        <w:rPr>
          <w:rFonts w:hint="eastAsia"/>
          <w:sz w:val="32"/>
          <w:szCs w:val="32"/>
        </w:rPr>
      </w:pPr>
    </w:p>
    <w:p>
      <w:pPr>
        <w:ind w:firstLine="640" w:firstLineChars="200"/>
        <w:rPr>
          <w:rFonts w:hint="eastAsia"/>
          <w:sz w:val="32"/>
          <w:szCs w:val="32"/>
        </w:rPr>
      </w:pPr>
    </w:p>
    <w:p>
      <w:pPr>
        <w:ind w:firstLine="640" w:firstLineChars="200"/>
        <w:rPr>
          <w:rFonts w:hint="eastAsia"/>
          <w:sz w:val="32"/>
          <w:szCs w:val="32"/>
        </w:rPr>
      </w:pPr>
    </w:p>
    <w:p>
      <w:pPr>
        <w:ind w:firstLine="640" w:firstLineChars="200"/>
        <w:rPr>
          <w:rFonts w:hint="eastAsia"/>
          <w:sz w:val="32"/>
          <w:szCs w:val="32"/>
        </w:rPr>
      </w:pPr>
    </w:p>
    <w:p>
      <w:pPr>
        <w:ind w:firstLine="640" w:firstLineChars="200"/>
        <w:rPr>
          <w:rFonts w:hint="eastAsia"/>
          <w:sz w:val="32"/>
          <w:szCs w:val="32"/>
        </w:rPr>
      </w:pPr>
    </w:p>
    <w:p>
      <w:pPr>
        <w:ind w:firstLine="640" w:firstLineChars="200"/>
        <w:rPr>
          <w:rFonts w:hint="eastAsia"/>
          <w:sz w:val="32"/>
          <w:szCs w:val="32"/>
        </w:rPr>
      </w:pPr>
    </w:p>
    <w:p>
      <w:pPr>
        <w:jc w:val="center"/>
        <w:rPr>
          <w:rFonts w:ascii="黑体" w:hAnsi="黑体" w:eastAsia="黑体" w:cs="黑体"/>
          <w:sz w:val="44"/>
          <w:szCs w:val="44"/>
        </w:rPr>
      </w:pPr>
    </w:p>
    <w:p>
      <w:pPr>
        <w:numPr>
          <w:ilvl w:val="0"/>
          <w:numId w:val="1"/>
        </w:numPr>
        <w:jc w:val="center"/>
        <w:rPr>
          <w:rFonts w:hint="eastAsia" w:ascii="黑体" w:hAnsi="黑体" w:eastAsia="黑体" w:cs="黑体"/>
          <w:sz w:val="44"/>
          <w:szCs w:val="44"/>
          <w:lang w:eastAsia="zh-CN"/>
        </w:rPr>
      </w:pPr>
      <w:r>
        <w:rPr>
          <w:rFonts w:hint="eastAsia" w:ascii="黑体" w:hAnsi="黑体" w:eastAsia="黑体" w:cs="黑体"/>
          <w:sz w:val="44"/>
          <w:szCs w:val="44"/>
        </w:rPr>
        <w:t>　</w:t>
      </w:r>
      <w:r>
        <w:rPr>
          <w:rFonts w:hint="eastAsia" w:ascii="黑体" w:hAnsi="黑体" w:eastAsia="黑体" w:cs="黑体"/>
          <w:sz w:val="44"/>
          <w:szCs w:val="44"/>
          <w:lang w:eastAsia="zh-CN"/>
        </w:rPr>
        <w:t>信阳市上天梯非金属矿</w:t>
      </w:r>
    </w:p>
    <w:p>
      <w:pPr>
        <w:numPr>
          <w:ilvl w:val="0"/>
          <w:numId w:val="0"/>
        </w:numPr>
        <w:ind w:firstLine="4400" w:firstLineChars="1000"/>
        <w:jc w:val="both"/>
        <w:rPr>
          <w:rFonts w:ascii="黑体" w:eastAsia="黑体"/>
          <w:color w:val="000000"/>
          <w:sz w:val="44"/>
          <w:szCs w:val="44"/>
        </w:rPr>
      </w:pPr>
      <w:r>
        <w:rPr>
          <w:rFonts w:hint="eastAsia" w:ascii="黑体" w:hAnsi="黑体" w:eastAsia="黑体" w:cs="黑体"/>
          <w:sz w:val="44"/>
          <w:szCs w:val="44"/>
          <w:lang w:eastAsia="zh-CN"/>
        </w:rPr>
        <w:t>管理区</w:t>
      </w:r>
      <w:r>
        <w:rPr>
          <w:rFonts w:hint="eastAsia" w:ascii="黑体" w:hAnsi="黑体" w:eastAsia="黑体" w:cs="黑体"/>
          <w:sz w:val="44"/>
          <w:szCs w:val="44"/>
        </w:rPr>
        <w:t>概况</w:t>
      </w:r>
    </w:p>
    <w:p>
      <w:pPr>
        <w:ind w:firstLine="640" w:firstLineChars="200"/>
        <w:outlineLvl w:val="1"/>
        <w:rPr>
          <w:rFonts w:ascii="黑体" w:hAnsi="黑体" w:eastAsia="黑体" w:cs="黑体"/>
          <w:sz w:val="32"/>
          <w:szCs w:val="32"/>
        </w:rPr>
      </w:pPr>
    </w:p>
    <w:p>
      <w:pPr>
        <w:ind w:firstLine="640" w:firstLineChars="200"/>
        <w:outlineLvl w:val="1"/>
        <w:rPr>
          <w:rFonts w:ascii="黑体" w:hAnsi="黑体" w:eastAsia="黑体" w:cs="黑体"/>
          <w:sz w:val="32"/>
          <w:szCs w:val="32"/>
        </w:rPr>
      </w:pPr>
      <w:r>
        <w:rPr>
          <w:rFonts w:hint="eastAsia" w:ascii="黑体" w:hAnsi="黑体" w:eastAsia="黑体" w:cs="黑体"/>
          <w:sz w:val="32"/>
          <w:szCs w:val="32"/>
        </w:rPr>
        <w:t>一、部门</w:t>
      </w:r>
      <w:r>
        <w:rPr>
          <w:rFonts w:hint="eastAsia" w:ascii="黑体" w:hAnsi="黑体" w:eastAsia="黑体" w:cs="黑体"/>
          <w:bCs/>
          <w:sz w:val="32"/>
          <w:szCs w:val="32"/>
        </w:rPr>
        <w:t>职责</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1、贯彻落实党的路线、方针、政策和市委、市政府重大决策；负责上天梯管理区机关及所属单位党组织建设、思想建设、作风建设及廉政建设等工作。</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2、负责编制上天梯管理区的经济、社会发展规划，经市政府批准后实施；对管理区内的土地、矿产资源进行统一规划、统一管理、计划开采、深度加工、专一市场、综合利用、多元投资、行业垄断。负责制定本区的行政管理规定并组织实施。</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3、负责制定用地、融资、财税、招商引资、人才引进等优惠政策，激活上天梯管理区开发建设机制。</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4、负责管理区内的土地开发管理、土地规划限额以外的土地出租管理和土地使用权的有偿出让；负责管理区探矿权的审查、申报，采矿权审批；负责矿产品的物价调控；组织辖区内各项基础设施各公共设施的规划、建设与管理。</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5、审批、审核管理区各类投资项目；管理辖区涉外事务和有关的进出口行政事务。</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6、在信阳市城市总体规划框架内，进行分区规划和详细规划编制的组织和实施工作。享有规划、建设、环保、房管和城市管理行政执法权。</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7、对管理区内的企业（国营、集体和个体私营）进行管理、指导和服务</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8、按照各项法律的规定和市委、市政府授权，加大对盲目开采、乱占滥建、无序竞争、浪费资源等现状的治理力度，依法对各种违章行为进行纠正和处罚。</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9、依法管理辖区内的财政、税收、计划、环保、安全生产、人事劳动、公安、工商、电业、技术监督、交通等行政事务。</w:t>
      </w:r>
    </w:p>
    <w:p>
      <w:pPr>
        <w:ind w:firstLine="640" w:firstLineChars="200"/>
        <w:outlineLvl w:val="1"/>
        <w:rPr>
          <w:rFonts w:hint="eastAsia" w:ascii="黑体" w:hAnsi="黑体" w:eastAsia="黑体" w:cs="黑体"/>
          <w:sz w:val="32"/>
          <w:szCs w:val="32"/>
        </w:rPr>
      </w:pPr>
      <w:r>
        <w:rPr>
          <w:rFonts w:hint="eastAsia" w:ascii="仿宋_GB2312" w:hAnsi="仿宋_GB2312" w:eastAsia="仿宋_GB2312" w:cs="仿宋_GB2312"/>
          <w:sz w:val="32"/>
          <w:szCs w:val="32"/>
        </w:rPr>
        <w:t>10、负责上天梯管理区内的社会经济发展、民政事务、人员安置、计划生育、科教文卫、社会治安、城镇规模、精神文明建设和基层政权建设等各项公益事业各行政事务。</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11、市委、市政府赋予的其他职权。</w:t>
      </w:r>
      <w:r>
        <w:rPr>
          <w:rFonts w:hint="eastAsia" w:ascii="仿宋_GB2312" w:hAnsi="仿宋_GB2312" w:eastAsia="仿宋_GB2312" w:cs="仿宋_GB2312"/>
          <w:sz w:val="32"/>
          <w:szCs w:val="32"/>
        </w:rPr>
        <w:br w:type="textWrapping"/>
      </w:r>
      <w:r>
        <w:rPr>
          <w:rFonts w:hint="eastAsia" w:ascii="黑体" w:hAnsi="黑体" w:eastAsia="黑体" w:cs="黑体"/>
          <w:sz w:val="32"/>
          <w:szCs w:val="32"/>
        </w:rPr>
        <w:t>二、机构设置</w:t>
      </w:r>
    </w:p>
    <w:p>
      <w:pPr>
        <w:ind w:firstLine="640" w:firstLineChars="200"/>
        <w:jc w:val="left"/>
        <w:rPr>
          <w:rFonts w:ascii="隶书" w:hAnsi="隶书" w:eastAsia="隶书" w:cs="隶书"/>
          <w:b/>
          <w:bCs/>
          <w:sz w:val="48"/>
          <w:szCs w:val="48"/>
        </w:rPr>
      </w:pPr>
      <w:r>
        <w:rPr>
          <w:rFonts w:hint="eastAsia" w:ascii="仿宋_GB2312" w:hAnsi="仿宋_GB2312" w:eastAsia="仿宋_GB2312" w:cs="仿宋_GB2312"/>
          <w:sz w:val="32"/>
          <w:szCs w:val="32"/>
        </w:rPr>
        <w:t>信阳市上天梯非金属矿管理区部门决算包括信阳市上天梯非金属矿管理区区本级决算（含</w:t>
      </w:r>
      <w:r>
        <w:rPr>
          <w:rFonts w:hint="eastAsia" w:ascii="仿宋_GB2312" w:hAnsi="仿宋_GB2312" w:eastAsia="仿宋_GB2312" w:cs="仿宋_GB2312"/>
          <w:sz w:val="32"/>
          <w:szCs w:val="32"/>
          <w:lang w:val="en-US" w:eastAsia="zh-CN"/>
        </w:rPr>
        <w:t>33</w:t>
      </w:r>
      <w:r>
        <w:rPr>
          <w:rFonts w:hint="eastAsia" w:ascii="仿宋_GB2312" w:hAnsi="仿宋_GB2312" w:eastAsia="仿宋_GB2312" w:cs="仿宋_GB2312"/>
          <w:sz w:val="32"/>
          <w:szCs w:val="32"/>
        </w:rPr>
        <w:t>个职能机构）和1个办事处（信阳市上天梯非金属矿管理区土城街道办事处）。</w:t>
      </w:r>
    </w:p>
    <w:p>
      <w:pPr>
        <w:outlineLvl w:val="1"/>
        <w:rPr>
          <w:rFonts w:hint="eastAsia" w:ascii="黑体" w:hAnsi="黑体" w:eastAsia="黑体" w:cs="黑体"/>
          <w:sz w:val="32"/>
          <w:szCs w:val="32"/>
        </w:rPr>
      </w:pPr>
    </w:p>
    <w:p>
      <w:pPr>
        <w:outlineLvl w:val="1"/>
        <w:rPr>
          <w:rFonts w:hint="eastAsia" w:ascii="黑体" w:hAnsi="黑体" w:eastAsia="黑体" w:cs="黑体"/>
          <w:sz w:val="32"/>
          <w:szCs w:val="32"/>
        </w:rPr>
      </w:pPr>
    </w:p>
    <w:p>
      <w:pPr>
        <w:outlineLvl w:val="1"/>
        <w:rPr>
          <w:rFonts w:hint="eastAsia" w:ascii="黑体" w:hAnsi="黑体" w:eastAsia="黑体" w:cs="黑体"/>
          <w:sz w:val="32"/>
          <w:szCs w:val="32"/>
        </w:rPr>
      </w:pPr>
    </w:p>
    <w:p>
      <w:pPr>
        <w:outlineLvl w:val="1"/>
        <w:rPr>
          <w:rFonts w:hint="eastAsia" w:ascii="黑体" w:hAnsi="黑体" w:eastAsia="黑体" w:cs="黑体"/>
          <w:sz w:val="32"/>
          <w:szCs w:val="32"/>
        </w:rPr>
      </w:pPr>
    </w:p>
    <w:p>
      <w:pPr>
        <w:outlineLvl w:val="1"/>
        <w:rPr>
          <w:rFonts w:hint="eastAsia" w:ascii="黑体" w:hAnsi="黑体" w:eastAsia="黑体" w:cs="黑体"/>
          <w:sz w:val="32"/>
          <w:szCs w:val="32"/>
        </w:rPr>
      </w:pPr>
    </w:p>
    <w:p>
      <w:pPr>
        <w:jc w:val="center"/>
        <w:rPr>
          <w:rFonts w:ascii="黑体" w:hAnsi="黑体" w:eastAsia="黑体" w:cs="黑体"/>
          <w:sz w:val="44"/>
          <w:szCs w:val="44"/>
        </w:rPr>
      </w:pPr>
      <w:r>
        <w:rPr>
          <w:rFonts w:hint="eastAsia" w:ascii="黑体" w:hAnsi="黑体" w:eastAsia="黑体" w:cs="黑体"/>
          <w:sz w:val="44"/>
          <w:szCs w:val="44"/>
        </w:rPr>
        <w:t>第二部分</w:t>
      </w:r>
    </w:p>
    <w:p>
      <w:pPr>
        <w:jc w:val="center"/>
        <w:rPr>
          <w:rFonts w:hint="eastAsia" w:ascii="黑体" w:hAnsi="黑体" w:eastAsia="黑体" w:cs="黑体"/>
          <w:sz w:val="44"/>
          <w:szCs w:val="44"/>
        </w:rPr>
      </w:pPr>
      <w:r>
        <w:rPr>
          <w:rFonts w:hint="eastAsia" w:ascii="黑体" w:hAnsi="黑体" w:eastAsia="黑体" w:cs="黑体"/>
          <w:sz w:val="44"/>
          <w:szCs w:val="44"/>
          <w:lang w:eastAsia="zh-CN"/>
        </w:rPr>
        <w:t>信阳市上天梯非金属矿管理区</w:t>
      </w:r>
      <w:r>
        <w:rPr>
          <w:rFonts w:hint="eastAsia" w:ascii="黑体" w:hAnsi="黑体" w:eastAsia="黑体" w:cs="黑体"/>
          <w:sz w:val="44"/>
          <w:szCs w:val="44"/>
        </w:rPr>
        <w:t>2020年度</w:t>
      </w:r>
    </w:p>
    <w:p>
      <w:pPr>
        <w:jc w:val="center"/>
        <w:rPr>
          <w:rFonts w:hint="eastAsia" w:ascii="黑体" w:hAnsi="黑体" w:eastAsia="黑体" w:cs="黑体"/>
          <w:sz w:val="44"/>
          <w:szCs w:val="44"/>
        </w:rPr>
      </w:pPr>
      <w:r>
        <w:rPr>
          <w:rFonts w:hint="eastAsia" w:ascii="黑体" w:hAnsi="黑体" w:eastAsia="黑体" w:cs="黑体"/>
          <w:sz w:val="44"/>
          <w:szCs w:val="44"/>
        </w:rPr>
        <w:t>部门决算情况说明</w:t>
      </w:r>
    </w:p>
    <w:p>
      <w:pPr>
        <w:jc w:val="center"/>
        <w:rPr>
          <w:rFonts w:hint="eastAsia" w:ascii="黑体" w:hAnsi="黑体" w:eastAsia="黑体" w:cs="黑体"/>
          <w:sz w:val="44"/>
          <w:szCs w:val="44"/>
        </w:rPr>
      </w:pPr>
    </w:p>
    <w:p>
      <w:pPr>
        <w:jc w:val="center"/>
        <w:rPr>
          <w:rFonts w:hint="eastAsia" w:ascii="黑体" w:hAnsi="黑体" w:eastAsia="黑体" w:cs="黑体"/>
          <w:sz w:val="44"/>
          <w:szCs w:val="44"/>
        </w:rPr>
      </w:pPr>
    </w:p>
    <w:p>
      <w:pPr>
        <w:ind w:firstLine="640" w:firstLineChars="200"/>
        <w:jc w:val="left"/>
        <w:rPr>
          <w:rFonts w:hint="default" w:ascii="仿宋_GB2312" w:hAnsi="仿宋_GB2312" w:eastAsia="仿宋_GB2312" w:cs="仿宋_GB2312"/>
          <w:sz w:val="32"/>
          <w:szCs w:val="32"/>
        </w:rPr>
      </w:pPr>
      <w:r>
        <w:rPr>
          <w:rFonts w:hint="eastAsia" w:ascii="黑体" w:hAnsi="黑体" w:eastAsia="黑体" w:cs="黑体"/>
          <w:b w:val="0"/>
          <w:bCs w:val="0"/>
          <w:sz w:val="32"/>
          <w:szCs w:val="32"/>
          <w:lang w:eastAsia="zh-CN"/>
        </w:rPr>
        <w:t>一、</w:t>
      </w:r>
      <w:r>
        <w:rPr>
          <w:rFonts w:hint="eastAsia" w:ascii="黑体" w:hAnsi="黑体" w:eastAsia="黑体" w:cs="黑体"/>
          <w:b w:val="0"/>
          <w:bCs w:val="0"/>
          <w:sz w:val="32"/>
          <w:szCs w:val="32"/>
        </w:rPr>
        <w:t>收入支出决算总体情况说明</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年度收、支总计均为</w:t>
      </w:r>
      <w:r>
        <w:rPr>
          <w:rFonts w:hint="eastAsia" w:ascii="仿宋_GB2312" w:hAnsi="仿宋_GB2312" w:eastAsia="仿宋_GB2312" w:cs="仿宋_GB2312"/>
          <w:sz w:val="32"/>
          <w:szCs w:val="32"/>
          <w:lang w:val="en-US" w:eastAsia="zh-CN"/>
        </w:rPr>
        <w:t>7321.00</w:t>
      </w:r>
      <w:r>
        <w:rPr>
          <w:rFonts w:hint="eastAsia" w:ascii="仿宋_GB2312" w:hAnsi="仿宋_GB2312" w:eastAsia="仿宋_GB2312" w:cs="仿宋_GB2312"/>
          <w:sz w:val="32"/>
          <w:szCs w:val="32"/>
        </w:rPr>
        <w:t>万元。与上年度相比，</w:t>
      </w:r>
      <w:r>
        <w:rPr>
          <w:rFonts w:hint="eastAsia" w:ascii="仿宋_GB2312" w:hAnsi="仿宋_GB2312" w:eastAsia="仿宋_GB2312" w:cs="仿宋_GB2312"/>
          <w:sz w:val="32"/>
          <w:szCs w:val="32"/>
          <w:lang w:eastAsia="zh-CN"/>
        </w:rPr>
        <w:t>收入减少</w:t>
      </w:r>
      <w:r>
        <w:rPr>
          <w:rFonts w:hint="eastAsia" w:ascii="仿宋_GB2312" w:hAnsi="仿宋_GB2312" w:eastAsia="仿宋_GB2312" w:cs="仿宋_GB2312"/>
          <w:sz w:val="32"/>
          <w:szCs w:val="32"/>
          <w:lang w:val="en-US" w:eastAsia="zh-CN"/>
        </w:rPr>
        <w:t>470.00万元</w:t>
      </w:r>
      <w:r>
        <w:rPr>
          <w:rFonts w:hint="eastAsia" w:ascii="仿宋_GB2312" w:hAnsi="仿宋_GB2312" w:eastAsia="仿宋_GB2312" w:cs="仿宋_GB2312"/>
          <w:sz w:val="32"/>
          <w:szCs w:val="32"/>
        </w:rPr>
        <w:t>、支</w:t>
      </w:r>
      <w:r>
        <w:rPr>
          <w:rFonts w:hint="eastAsia" w:ascii="仿宋_GB2312" w:hAnsi="仿宋_GB2312" w:eastAsia="仿宋_GB2312" w:cs="仿宋_GB2312"/>
          <w:sz w:val="32"/>
          <w:szCs w:val="32"/>
          <w:lang w:eastAsia="zh-CN"/>
        </w:rPr>
        <w:t>出减少</w:t>
      </w:r>
      <w:r>
        <w:rPr>
          <w:rFonts w:hint="eastAsia" w:ascii="仿宋_GB2312" w:hAnsi="仿宋_GB2312" w:eastAsia="仿宋_GB2312" w:cs="仿宋_GB2312"/>
          <w:sz w:val="32"/>
          <w:szCs w:val="32"/>
          <w:lang w:val="en-US" w:eastAsia="zh-CN"/>
        </w:rPr>
        <w:t>472.00</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下降</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w:t>
      </w:r>
    </w:p>
    <w:p>
      <w:pPr>
        <w:ind w:firstLine="643" w:firstLineChars="200"/>
        <w:jc w:val="left"/>
        <w:rPr>
          <w:rFonts w:hint="eastAsia" w:ascii="黑体" w:hAnsi="黑体" w:eastAsia="黑体" w:cs="黑体"/>
          <w:b/>
          <w:bCs/>
          <w:sz w:val="32"/>
          <w:szCs w:val="32"/>
        </w:rPr>
      </w:pPr>
      <w:r>
        <w:rPr>
          <w:rFonts w:hint="eastAsia" w:ascii="黑体" w:hAnsi="黑体" w:eastAsia="黑体" w:cs="黑体"/>
          <w:b/>
          <w:bCs/>
          <w:sz w:val="32"/>
          <w:szCs w:val="32"/>
        </w:rPr>
        <w:t>二、收入决算情况说明</w:t>
      </w:r>
    </w:p>
    <w:p>
      <w:pPr>
        <w:ind w:firstLine="640"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年度收入合计</w:t>
      </w:r>
      <w:r>
        <w:rPr>
          <w:rFonts w:hint="eastAsia" w:ascii="仿宋_GB2312" w:hAnsi="仿宋_GB2312" w:eastAsia="仿宋_GB2312" w:cs="仿宋_GB2312"/>
          <w:sz w:val="32"/>
          <w:szCs w:val="32"/>
          <w:lang w:val="en-US" w:eastAsia="zh-CN"/>
        </w:rPr>
        <w:t>7321.00</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全部为</w:t>
      </w:r>
      <w:r>
        <w:rPr>
          <w:rFonts w:hint="eastAsia" w:ascii="仿宋_GB2312" w:hAnsi="仿宋_GB2312" w:eastAsia="仿宋_GB2312" w:cs="仿宋_GB2312"/>
          <w:sz w:val="32"/>
          <w:szCs w:val="32"/>
        </w:rPr>
        <w:t>财政拨款收入</w:t>
      </w:r>
      <w:r>
        <w:rPr>
          <w:rFonts w:hint="eastAsia" w:ascii="仿宋_GB2312" w:hAnsi="仿宋_GB2312" w:eastAsia="仿宋_GB2312" w:cs="仿宋_GB2312"/>
          <w:sz w:val="32"/>
          <w:szCs w:val="32"/>
          <w:lang w:eastAsia="zh-CN"/>
        </w:rPr>
        <w:t>。</w:t>
      </w:r>
    </w:p>
    <w:p>
      <w:pPr>
        <w:ind w:firstLine="640" w:firstLineChars="200"/>
        <w:jc w:val="left"/>
        <w:rPr>
          <w:rFonts w:hint="eastAsia" w:ascii="仿宋_GB2312" w:hAnsi="仿宋_GB2312" w:eastAsia="仿宋_GB2312" w:cs="仿宋_GB2312"/>
          <w:sz w:val="32"/>
          <w:szCs w:val="32"/>
        </w:rPr>
      </w:pPr>
      <w:r>
        <w:rPr>
          <w:rFonts w:hint="eastAsia" w:ascii="黑体" w:hAnsi="黑体" w:eastAsia="黑体" w:cs="黑体"/>
          <w:b w:val="0"/>
          <w:bCs w:val="0"/>
          <w:sz w:val="32"/>
          <w:szCs w:val="32"/>
        </w:rPr>
        <w:t>三、支出决算情况说明</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区本级本年支出合计</w:t>
      </w:r>
      <w:r>
        <w:rPr>
          <w:rFonts w:hint="eastAsia" w:ascii="仿宋_GB2312" w:hAnsi="仿宋_GB2312" w:eastAsia="仿宋_GB2312" w:cs="仿宋_GB2312"/>
          <w:sz w:val="32"/>
          <w:szCs w:val="32"/>
          <w:lang w:val="en-US" w:eastAsia="zh-CN"/>
        </w:rPr>
        <w:t>7321.00</w:t>
      </w:r>
      <w:r>
        <w:rPr>
          <w:rFonts w:hint="eastAsia" w:ascii="仿宋_GB2312" w:hAnsi="仿宋_GB2312" w:eastAsia="仿宋_GB2312" w:cs="仿宋_GB2312"/>
          <w:sz w:val="32"/>
          <w:szCs w:val="32"/>
        </w:rPr>
        <w:t>万元，均为基本支出。</w:t>
      </w:r>
    </w:p>
    <w:p>
      <w:pPr>
        <w:ind w:firstLine="640" w:firstLineChars="200"/>
        <w:jc w:val="left"/>
        <w:rPr>
          <w:rFonts w:hint="eastAsia" w:ascii="黑体" w:hAnsi="黑体" w:eastAsia="黑体" w:cs="黑体"/>
          <w:b w:val="0"/>
          <w:bCs w:val="0"/>
          <w:sz w:val="32"/>
          <w:szCs w:val="32"/>
        </w:rPr>
      </w:pPr>
      <w:r>
        <w:rPr>
          <w:rFonts w:hint="eastAsia" w:ascii="黑体" w:hAnsi="黑体" w:eastAsia="黑体" w:cs="黑体"/>
          <w:b w:val="0"/>
          <w:bCs w:val="0"/>
          <w:sz w:val="32"/>
          <w:szCs w:val="32"/>
        </w:rPr>
        <w:t>四、财政拨款收入支出决算总体情况说明</w:t>
      </w:r>
    </w:p>
    <w:p>
      <w:pPr>
        <w:ind w:firstLine="640"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（一）总体情况</w:t>
      </w:r>
    </w:p>
    <w:p>
      <w:pPr>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2020年度财政拨款收、支总计均为 </w:t>
      </w:r>
      <w:r>
        <w:rPr>
          <w:rFonts w:hint="eastAsia" w:ascii="仿宋_GB2312" w:hAnsi="仿宋_GB2312" w:eastAsia="仿宋_GB2312" w:cs="仿宋_GB2312"/>
          <w:sz w:val="32"/>
          <w:szCs w:val="32"/>
          <w:lang w:val="en-US" w:eastAsia="zh-CN"/>
        </w:rPr>
        <w:t>7321.00</w:t>
      </w:r>
      <w:r>
        <w:rPr>
          <w:rFonts w:hint="eastAsia" w:ascii="仿宋_GB2312" w:hAnsi="仿宋_GB2312" w:eastAsia="仿宋_GB2312" w:cs="仿宋_GB2312"/>
          <w:sz w:val="32"/>
          <w:szCs w:val="32"/>
        </w:rPr>
        <w:t>万元。与上年度相比，</w:t>
      </w:r>
      <w:r>
        <w:rPr>
          <w:rFonts w:hint="eastAsia" w:ascii="仿宋_GB2312" w:hAnsi="仿宋_GB2312" w:eastAsia="仿宋_GB2312" w:cs="仿宋_GB2312"/>
          <w:sz w:val="32"/>
          <w:szCs w:val="32"/>
          <w:lang w:eastAsia="zh-CN"/>
        </w:rPr>
        <w:t>收入减少</w:t>
      </w:r>
      <w:r>
        <w:rPr>
          <w:rFonts w:hint="eastAsia" w:ascii="仿宋_GB2312" w:hAnsi="仿宋_GB2312" w:eastAsia="仿宋_GB2312" w:cs="仿宋_GB2312"/>
          <w:sz w:val="32"/>
          <w:szCs w:val="32"/>
          <w:lang w:val="en-US" w:eastAsia="zh-CN"/>
        </w:rPr>
        <w:t>470.00万元</w:t>
      </w:r>
      <w:r>
        <w:rPr>
          <w:rFonts w:hint="eastAsia" w:ascii="仿宋_GB2312" w:hAnsi="仿宋_GB2312" w:eastAsia="仿宋_GB2312" w:cs="仿宋_GB2312"/>
          <w:sz w:val="32"/>
          <w:szCs w:val="32"/>
        </w:rPr>
        <w:t>、支</w:t>
      </w:r>
      <w:r>
        <w:rPr>
          <w:rFonts w:hint="eastAsia" w:ascii="仿宋_GB2312" w:hAnsi="仿宋_GB2312" w:eastAsia="仿宋_GB2312" w:cs="仿宋_GB2312"/>
          <w:sz w:val="32"/>
          <w:szCs w:val="32"/>
          <w:lang w:eastAsia="zh-CN"/>
        </w:rPr>
        <w:t>出减少</w:t>
      </w:r>
      <w:r>
        <w:rPr>
          <w:rFonts w:hint="eastAsia" w:ascii="仿宋_GB2312" w:hAnsi="仿宋_GB2312" w:eastAsia="仿宋_GB2312" w:cs="仿宋_GB2312"/>
          <w:sz w:val="32"/>
          <w:szCs w:val="32"/>
          <w:lang w:val="en-US" w:eastAsia="zh-CN"/>
        </w:rPr>
        <w:t>472.00</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下降</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（二）结构情况</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区本级</w:t>
      </w:r>
      <w:r>
        <w:rPr>
          <w:rFonts w:hint="eastAsia" w:ascii="仿宋_GB2312" w:hAnsi="仿宋_GB2312" w:eastAsia="仿宋_GB2312" w:cs="仿宋_GB2312"/>
          <w:sz w:val="32"/>
          <w:szCs w:val="32"/>
          <w:lang w:val="en-US" w:eastAsia="zh-CN"/>
        </w:rPr>
        <w:t>2020</w:t>
      </w:r>
      <w:r>
        <w:rPr>
          <w:rFonts w:hint="eastAsia" w:ascii="仿宋_GB2312" w:hAnsi="仿宋_GB2312" w:eastAsia="仿宋_GB2312" w:cs="仿宋_GB2312"/>
          <w:sz w:val="32"/>
          <w:szCs w:val="32"/>
        </w:rPr>
        <w:t>年一般公共预算财政拨款支出</w:t>
      </w:r>
      <w:r>
        <w:rPr>
          <w:rFonts w:hint="eastAsia" w:ascii="仿宋_GB2312" w:hAnsi="仿宋_GB2312" w:eastAsia="仿宋_GB2312" w:cs="仿宋_GB2312"/>
          <w:sz w:val="32"/>
          <w:szCs w:val="32"/>
          <w:lang w:val="en-US" w:eastAsia="zh-CN"/>
        </w:rPr>
        <w:t>7321.00</w:t>
      </w:r>
      <w:r>
        <w:rPr>
          <w:rFonts w:hint="eastAsia" w:ascii="仿宋_GB2312" w:hAnsi="仿宋_GB2312" w:eastAsia="仿宋_GB2312" w:cs="仿宋_GB2312"/>
          <w:sz w:val="32"/>
          <w:szCs w:val="32"/>
        </w:rPr>
        <w:t>万元，主要用于以下方面：一般公共服务（类）支出</w:t>
      </w:r>
      <w:r>
        <w:rPr>
          <w:rFonts w:hint="eastAsia" w:ascii="仿宋_GB2312" w:hAnsi="仿宋_GB2312" w:eastAsia="仿宋_GB2312" w:cs="仿宋_GB2312"/>
          <w:sz w:val="32"/>
          <w:szCs w:val="32"/>
          <w:lang w:val="en-US" w:eastAsia="zh-CN"/>
        </w:rPr>
        <w:t>3320.00</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45</w:t>
      </w:r>
      <w:r>
        <w:rPr>
          <w:rFonts w:hint="eastAsia" w:ascii="仿宋_GB2312" w:hAnsi="仿宋_GB2312" w:eastAsia="仿宋_GB2312" w:cs="仿宋_GB2312"/>
          <w:sz w:val="32"/>
          <w:szCs w:val="32"/>
        </w:rPr>
        <w:t>%；教育支出</w:t>
      </w:r>
      <w:r>
        <w:rPr>
          <w:rFonts w:hint="eastAsia" w:ascii="仿宋_GB2312" w:hAnsi="仿宋_GB2312" w:eastAsia="仿宋_GB2312" w:cs="仿宋_GB2312"/>
          <w:sz w:val="32"/>
          <w:szCs w:val="32"/>
          <w:lang w:val="en-US" w:eastAsia="zh-CN"/>
        </w:rPr>
        <w:t>1004.00</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13.7</w:t>
      </w:r>
      <w:r>
        <w:rPr>
          <w:rFonts w:hint="eastAsia" w:ascii="仿宋_GB2312" w:hAnsi="仿宋_GB2312" w:eastAsia="仿宋_GB2312" w:cs="仿宋_GB2312"/>
          <w:sz w:val="32"/>
          <w:szCs w:val="32"/>
        </w:rPr>
        <w:t>%；科学技术支出</w:t>
      </w:r>
      <w:r>
        <w:rPr>
          <w:rFonts w:hint="eastAsia" w:ascii="仿宋_GB2312" w:hAnsi="仿宋_GB2312" w:eastAsia="仿宋_GB2312" w:cs="仿宋_GB2312"/>
          <w:sz w:val="32"/>
          <w:szCs w:val="32"/>
          <w:lang w:val="en-US" w:eastAsia="zh-CN"/>
        </w:rPr>
        <w:t>332.00</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4.5</w:t>
      </w:r>
      <w:r>
        <w:rPr>
          <w:rFonts w:hint="eastAsia" w:ascii="仿宋_GB2312" w:hAnsi="仿宋_GB2312" w:eastAsia="仿宋_GB2312" w:cs="仿宋_GB2312"/>
          <w:sz w:val="32"/>
          <w:szCs w:val="32"/>
        </w:rPr>
        <w:t>%；卫生</w:t>
      </w:r>
      <w:r>
        <w:rPr>
          <w:rFonts w:hint="eastAsia" w:ascii="仿宋_GB2312" w:hAnsi="仿宋_GB2312" w:eastAsia="仿宋_GB2312" w:cs="仿宋_GB2312"/>
          <w:sz w:val="32"/>
          <w:szCs w:val="32"/>
          <w:lang w:eastAsia="zh-CN"/>
        </w:rPr>
        <w:t>健康</w:t>
      </w:r>
      <w:r>
        <w:rPr>
          <w:rFonts w:hint="eastAsia" w:ascii="仿宋_GB2312" w:hAnsi="仿宋_GB2312" w:eastAsia="仿宋_GB2312" w:cs="仿宋_GB2312"/>
          <w:sz w:val="32"/>
          <w:szCs w:val="32"/>
        </w:rPr>
        <w:t>支出</w:t>
      </w:r>
      <w:r>
        <w:rPr>
          <w:rFonts w:hint="eastAsia" w:ascii="仿宋_GB2312" w:hAnsi="仿宋_GB2312" w:eastAsia="仿宋_GB2312" w:cs="仿宋_GB2312"/>
          <w:sz w:val="32"/>
          <w:szCs w:val="32"/>
          <w:lang w:val="en-US" w:eastAsia="zh-CN"/>
        </w:rPr>
        <w:t>149.00</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节能环保</w:t>
      </w:r>
      <w:r>
        <w:rPr>
          <w:rFonts w:hint="eastAsia" w:ascii="仿宋_GB2312" w:hAnsi="仿宋_GB2312" w:eastAsia="仿宋_GB2312" w:cs="仿宋_GB2312"/>
          <w:sz w:val="32"/>
          <w:szCs w:val="32"/>
        </w:rPr>
        <w:t>支出</w:t>
      </w:r>
      <w:r>
        <w:rPr>
          <w:rFonts w:hint="eastAsia" w:ascii="仿宋_GB2312" w:hAnsi="仿宋_GB2312" w:eastAsia="仿宋_GB2312" w:cs="仿宋_GB2312"/>
          <w:sz w:val="32"/>
          <w:szCs w:val="32"/>
          <w:lang w:val="en-US" w:eastAsia="zh-CN"/>
        </w:rPr>
        <w:t>230.00</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3.1</w:t>
      </w:r>
      <w:r>
        <w:rPr>
          <w:rFonts w:hint="eastAsia" w:ascii="仿宋_GB2312" w:hAnsi="仿宋_GB2312" w:eastAsia="仿宋_GB2312" w:cs="仿宋_GB2312"/>
          <w:sz w:val="32"/>
          <w:szCs w:val="32"/>
        </w:rPr>
        <w:t xml:space="preserve">%；城乡社区支出 </w:t>
      </w:r>
      <w:r>
        <w:rPr>
          <w:rFonts w:hint="eastAsia" w:ascii="仿宋_GB2312" w:hAnsi="仿宋_GB2312" w:eastAsia="仿宋_GB2312" w:cs="仿宋_GB2312"/>
          <w:sz w:val="32"/>
          <w:szCs w:val="32"/>
          <w:lang w:val="en-US" w:eastAsia="zh-CN"/>
        </w:rPr>
        <w:t>122.00</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1.7</w:t>
      </w:r>
      <w:r>
        <w:rPr>
          <w:rFonts w:hint="eastAsia" w:ascii="仿宋_GB2312" w:hAnsi="仿宋_GB2312" w:eastAsia="仿宋_GB2312" w:cs="仿宋_GB2312"/>
          <w:sz w:val="32"/>
          <w:szCs w:val="32"/>
        </w:rPr>
        <w:t>%；农林水支出</w:t>
      </w:r>
      <w:r>
        <w:rPr>
          <w:rFonts w:hint="eastAsia" w:ascii="仿宋_GB2312" w:hAnsi="仿宋_GB2312" w:eastAsia="仿宋_GB2312" w:cs="仿宋_GB2312"/>
          <w:sz w:val="32"/>
          <w:szCs w:val="32"/>
          <w:lang w:val="en-US" w:eastAsia="zh-CN"/>
        </w:rPr>
        <w:t>530.00</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7.2</w:t>
      </w:r>
      <w:r>
        <w:rPr>
          <w:rFonts w:hint="eastAsia" w:ascii="仿宋_GB2312" w:hAnsi="仿宋_GB2312" w:eastAsia="仿宋_GB2312" w:cs="仿宋_GB2312"/>
          <w:sz w:val="32"/>
          <w:szCs w:val="32"/>
        </w:rPr>
        <w:t>%；交通运输支出</w:t>
      </w:r>
      <w:r>
        <w:rPr>
          <w:rFonts w:hint="eastAsia" w:ascii="仿宋_GB2312" w:hAnsi="仿宋_GB2312" w:eastAsia="仿宋_GB2312" w:cs="仿宋_GB2312"/>
          <w:sz w:val="32"/>
          <w:szCs w:val="32"/>
          <w:lang w:val="en-US" w:eastAsia="zh-CN"/>
        </w:rPr>
        <w:t>690.00</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9.4</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自然资源海洋气象</w:t>
      </w:r>
      <w:r>
        <w:rPr>
          <w:rFonts w:hint="eastAsia" w:ascii="仿宋_GB2312" w:hAnsi="仿宋_GB2312" w:eastAsia="仿宋_GB2312" w:cs="仿宋_GB2312"/>
          <w:sz w:val="32"/>
          <w:szCs w:val="32"/>
        </w:rPr>
        <w:t>等支出</w:t>
      </w:r>
      <w:r>
        <w:rPr>
          <w:rFonts w:hint="eastAsia" w:ascii="仿宋_GB2312" w:hAnsi="仿宋_GB2312" w:eastAsia="仿宋_GB2312" w:cs="仿宋_GB2312"/>
          <w:sz w:val="32"/>
          <w:szCs w:val="32"/>
          <w:lang w:val="en-US" w:eastAsia="zh-CN"/>
        </w:rPr>
        <w:t>666.00</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9.1</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，灾害防治及应急管理支出</w:t>
      </w:r>
      <w:r>
        <w:rPr>
          <w:rFonts w:hint="eastAsia" w:ascii="仿宋_GB2312" w:hAnsi="仿宋_GB2312" w:eastAsia="仿宋_GB2312" w:cs="仿宋_GB2312"/>
          <w:sz w:val="32"/>
          <w:szCs w:val="32"/>
          <w:lang w:val="en-US" w:eastAsia="zh-CN"/>
        </w:rPr>
        <w:t>278.00万元，占3.8</w:t>
      </w:r>
      <w:r>
        <w:rPr>
          <w:rFonts w:hint="eastAsia" w:ascii="仿宋_GB2312" w:hAnsi="仿宋_GB2312" w:eastAsia="仿宋_GB2312" w:cs="仿宋_GB2312"/>
          <w:sz w:val="32"/>
          <w:szCs w:val="32"/>
        </w:rPr>
        <w:t>%。</w:t>
      </w:r>
    </w:p>
    <w:p>
      <w:pPr>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（三）具体情况。</w:t>
      </w:r>
    </w:p>
    <w:p>
      <w:pPr>
        <w:ind w:firstLine="640"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2020 年度一般公共预算财政拨款支出年初预算为</w:t>
      </w:r>
      <w:r>
        <w:rPr>
          <w:rFonts w:hint="eastAsia" w:ascii="仿宋_GB2312" w:hAnsi="仿宋_GB2312" w:eastAsia="仿宋_GB2312" w:cs="仿宋_GB2312"/>
          <w:sz w:val="32"/>
          <w:szCs w:val="32"/>
          <w:lang w:val="en-US" w:eastAsia="zh-CN"/>
        </w:rPr>
        <w:t>7321.00</w:t>
      </w:r>
      <w:r>
        <w:rPr>
          <w:rFonts w:hint="eastAsia" w:ascii="仿宋_GB2312" w:hAnsi="仿宋_GB2312" w:eastAsia="仿宋_GB2312" w:cs="仿宋_GB2312"/>
          <w:sz w:val="32"/>
          <w:szCs w:val="32"/>
          <w:lang w:eastAsia="zh-CN"/>
        </w:rPr>
        <w:t>万元，支出决算为</w:t>
      </w:r>
      <w:r>
        <w:rPr>
          <w:rFonts w:hint="eastAsia" w:ascii="仿宋_GB2312" w:hAnsi="仿宋_GB2312" w:eastAsia="仿宋_GB2312" w:cs="仿宋_GB2312"/>
          <w:sz w:val="32"/>
          <w:szCs w:val="32"/>
          <w:lang w:val="en-US" w:eastAsia="zh-CN"/>
        </w:rPr>
        <w:t>7321.00</w:t>
      </w:r>
      <w:r>
        <w:rPr>
          <w:rFonts w:hint="eastAsia" w:ascii="仿宋_GB2312" w:hAnsi="仿宋_GB2312" w:eastAsia="仿宋_GB2312" w:cs="仿宋_GB2312"/>
          <w:sz w:val="32"/>
          <w:szCs w:val="32"/>
          <w:lang w:eastAsia="zh-CN"/>
        </w:rPr>
        <w:t>万元，完成年初预算的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lang w:eastAsia="zh-CN"/>
        </w:rPr>
        <w:t>%。其中：</w:t>
      </w:r>
    </w:p>
    <w:p>
      <w:pPr>
        <w:ind w:firstLine="640"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．一般公共服务支出人大事务行政运行。年初预算为</w:t>
      </w:r>
      <w:r>
        <w:rPr>
          <w:rFonts w:hint="eastAsia" w:ascii="仿宋_GB2312" w:hAnsi="仿宋_GB2312" w:eastAsia="仿宋_GB2312" w:cs="仿宋_GB2312"/>
          <w:sz w:val="32"/>
          <w:szCs w:val="32"/>
          <w:lang w:val="en-US" w:eastAsia="zh-CN"/>
        </w:rPr>
        <w:t>20.00万</w:t>
      </w:r>
      <w:r>
        <w:rPr>
          <w:rFonts w:hint="eastAsia" w:ascii="仿宋_GB2312" w:hAnsi="仿宋_GB2312" w:eastAsia="仿宋_GB2312" w:cs="仿宋_GB2312"/>
          <w:sz w:val="32"/>
          <w:szCs w:val="32"/>
          <w:lang w:eastAsia="zh-CN"/>
        </w:rPr>
        <w:t>元，支出决算为</w:t>
      </w:r>
      <w:r>
        <w:rPr>
          <w:rFonts w:hint="eastAsia" w:ascii="仿宋_GB2312" w:hAnsi="仿宋_GB2312" w:eastAsia="仿宋_GB2312" w:cs="仿宋_GB2312"/>
          <w:sz w:val="32"/>
          <w:szCs w:val="32"/>
          <w:lang w:val="en-US" w:eastAsia="zh-CN"/>
        </w:rPr>
        <w:t>20.00</w:t>
      </w:r>
      <w:r>
        <w:rPr>
          <w:rFonts w:hint="eastAsia" w:ascii="仿宋_GB2312" w:hAnsi="仿宋_GB2312" w:eastAsia="仿宋_GB2312" w:cs="仿宋_GB2312"/>
          <w:sz w:val="32"/>
          <w:szCs w:val="32"/>
          <w:lang w:eastAsia="zh-CN"/>
        </w:rPr>
        <w:t>万元，完成年初预算的100%。</w:t>
      </w:r>
    </w:p>
    <w:p>
      <w:pPr>
        <w:ind w:firstLine="640"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．一般公共服务支出政府办公厅（室）及相关机构事务行政运行。年初预算为</w:t>
      </w:r>
      <w:r>
        <w:rPr>
          <w:rFonts w:hint="eastAsia" w:ascii="仿宋_GB2312" w:hAnsi="仿宋_GB2312" w:eastAsia="仿宋_GB2312" w:cs="仿宋_GB2312"/>
          <w:sz w:val="32"/>
          <w:szCs w:val="32"/>
          <w:lang w:val="en-US" w:eastAsia="zh-CN"/>
        </w:rPr>
        <w:t>2900.00</w:t>
      </w:r>
      <w:r>
        <w:rPr>
          <w:rFonts w:hint="eastAsia" w:ascii="仿宋_GB2312" w:hAnsi="仿宋_GB2312" w:eastAsia="仿宋_GB2312" w:cs="仿宋_GB2312"/>
          <w:sz w:val="32"/>
          <w:szCs w:val="32"/>
          <w:lang w:eastAsia="zh-CN"/>
        </w:rPr>
        <w:t>万元，支出决算为</w:t>
      </w:r>
      <w:r>
        <w:rPr>
          <w:rFonts w:hint="eastAsia" w:ascii="仿宋_GB2312" w:hAnsi="仿宋_GB2312" w:eastAsia="仿宋_GB2312" w:cs="仿宋_GB2312"/>
          <w:sz w:val="32"/>
          <w:szCs w:val="32"/>
          <w:lang w:val="en-US" w:eastAsia="zh-CN"/>
        </w:rPr>
        <w:t>2900.00</w:t>
      </w:r>
      <w:r>
        <w:rPr>
          <w:rFonts w:hint="eastAsia" w:ascii="仿宋_GB2312" w:hAnsi="仿宋_GB2312" w:eastAsia="仿宋_GB2312" w:cs="仿宋_GB2312"/>
          <w:sz w:val="32"/>
          <w:szCs w:val="32"/>
          <w:lang w:eastAsia="zh-CN"/>
        </w:rPr>
        <w:t>万元，完成年初预算的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lang w:eastAsia="zh-CN"/>
        </w:rPr>
        <w:t>%。</w:t>
      </w:r>
    </w:p>
    <w:p>
      <w:pPr>
        <w:ind w:firstLine="640"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 一般公共服务支出统计信息事务行政运行。年初预算为</w:t>
      </w:r>
      <w:r>
        <w:rPr>
          <w:rFonts w:hint="eastAsia" w:ascii="仿宋_GB2312" w:hAnsi="仿宋_GB2312" w:eastAsia="仿宋_GB2312" w:cs="仿宋_GB2312"/>
          <w:sz w:val="32"/>
          <w:szCs w:val="32"/>
          <w:lang w:val="en-US" w:eastAsia="zh-CN"/>
        </w:rPr>
        <w:t>70.00</w:t>
      </w:r>
      <w:r>
        <w:rPr>
          <w:rFonts w:hint="eastAsia" w:ascii="仿宋_GB2312" w:hAnsi="仿宋_GB2312" w:eastAsia="仿宋_GB2312" w:cs="仿宋_GB2312"/>
          <w:sz w:val="32"/>
          <w:szCs w:val="32"/>
          <w:lang w:eastAsia="zh-CN"/>
        </w:rPr>
        <w:t>万元，支出决算为</w:t>
      </w:r>
      <w:r>
        <w:rPr>
          <w:rFonts w:hint="eastAsia" w:ascii="仿宋_GB2312" w:hAnsi="仿宋_GB2312" w:eastAsia="仿宋_GB2312" w:cs="仿宋_GB2312"/>
          <w:sz w:val="32"/>
          <w:szCs w:val="32"/>
          <w:lang w:val="en-US" w:eastAsia="zh-CN"/>
        </w:rPr>
        <w:t>70.00</w:t>
      </w:r>
      <w:r>
        <w:rPr>
          <w:rFonts w:hint="eastAsia" w:ascii="仿宋_GB2312" w:hAnsi="仿宋_GB2312" w:eastAsia="仿宋_GB2312" w:cs="仿宋_GB2312"/>
          <w:sz w:val="32"/>
          <w:szCs w:val="32"/>
          <w:lang w:eastAsia="zh-CN"/>
        </w:rPr>
        <w:t>万元，完成年初预算的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lang w:eastAsia="zh-CN"/>
        </w:rPr>
        <w:t>%。</w:t>
      </w:r>
    </w:p>
    <w:p>
      <w:pPr>
        <w:ind w:firstLine="640"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eastAsia="zh-CN"/>
        </w:rPr>
        <w:t>．一般公共服务支出财政事务行政运行。年初预算为</w:t>
      </w:r>
      <w:r>
        <w:rPr>
          <w:rFonts w:hint="eastAsia" w:ascii="仿宋_GB2312" w:hAnsi="仿宋_GB2312" w:eastAsia="仿宋_GB2312" w:cs="仿宋_GB2312"/>
          <w:sz w:val="32"/>
          <w:szCs w:val="32"/>
          <w:lang w:val="en-US" w:eastAsia="zh-CN"/>
        </w:rPr>
        <w:t>89.00</w:t>
      </w:r>
      <w:r>
        <w:rPr>
          <w:rFonts w:hint="eastAsia" w:ascii="仿宋_GB2312" w:hAnsi="仿宋_GB2312" w:eastAsia="仿宋_GB2312" w:cs="仿宋_GB2312"/>
          <w:sz w:val="32"/>
          <w:szCs w:val="32"/>
          <w:lang w:eastAsia="zh-CN"/>
        </w:rPr>
        <w:t>万元，支出决算为</w:t>
      </w:r>
      <w:r>
        <w:rPr>
          <w:rFonts w:hint="eastAsia" w:ascii="仿宋_GB2312" w:hAnsi="仿宋_GB2312" w:eastAsia="仿宋_GB2312" w:cs="仿宋_GB2312"/>
          <w:sz w:val="32"/>
          <w:szCs w:val="32"/>
          <w:lang w:val="en-US" w:eastAsia="zh-CN"/>
        </w:rPr>
        <w:t>89.00</w:t>
      </w:r>
      <w:r>
        <w:rPr>
          <w:rFonts w:hint="eastAsia" w:ascii="仿宋_GB2312" w:hAnsi="仿宋_GB2312" w:eastAsia="仿宋_GB2312" w:cs="仿宋_GB2312"/>
          <w:sz w:val="32"/>
          <w:szCs w:val="32"/>
          <w:lang w:eastAsia="zh-CN"/>
        </w:rPr>
        <w:t>万元，完成年初预算的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lang w:eastAsia="zh-CN"/>
        </w:rPr>
        <w:t>%。</w:t>
      </w:r>
    </w:p>
    <w:p>
      <w:pPr>
        <w:ind w:firstLine="640"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lang w:eastAsia="zh-CN"/>
        </w:rPr>
        <w:t>．一般公共服务支出审计事务行政运行。年初预算为</w:t>
      </w:r>
      <w:r>
        <w:rPr>
          <w:rFonts w:hint="eastAsia" w:ascii="仿宋_GB2312" w:hAnsi="仿宋_GB2312" w:eastAsia="仿宋_GB2312" w:cs="仿宋_GB2312"/>
          <w:sz w:val="32"/>
          <w:szCs w:val="32"/>
          <w:lang w:val="en-US" w:eastAsia="zh-CN"/>
        </w:rPr>
        <w:t>52.00</w:t>
      </w:r>
      <w:r>
        <w:rPr>
          <w:rFonts w:hint="eastAsia" w:ascii="仿宋_GB2312" w:hAnsi="仿宋_GB2312" w:eastAsia="仿宋_GB2312" w:cs="仿宋_GB2312"/>
          <w:sz w:val="32"/>
          <w:szCs w:val="32"/>
          <w:lang w:eastAsia="zh-CN"/>
        </w:rPr>
        <w:t>万元，支出决算为</w:t>
      </w:r>
      <w:r>
        <w:rPr>
          <w:rFonts w:hint="eastAsia" w:ascii="仿宋_GB2312" w:hAnsi="仿宋_GB2312" w:eastAsia="仿宋_GB2312" w:cs="仿宋_GB2312"/>
          <w:sz w:val="32"/>
          <w:szCs w:val="32"/>
          <w:lang w:val="en-US" w:eastAsia="zh-CN"/>
        </w:rPr>
        <w:t>52.00</w:t>
      </w:r>
      <w:r>
        <w:rPr>
          <w:rFonts w:hint="eastAsia" w:ascii="仿宋_GB2312" w:hAnsi="仿宋_GB2312" w:eastAsia="仿宋_GB2312" w:cs="仿宋_GB2312"/>
          <w:sz w:val="32"/>
          <w:szCs w:val="32"/>
          <w:lang w:eastAsia="zh-CN"/>
        </w:rPr>
        <w:t>万元，完成年初预算的100%。</w:t>
      </w:r>
    </w:p>
    <w:p>
      <w:pPr>
        <w:ind w:firstLine="640"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lang w:eastAsia="zh-CN"/>
        </w:rPr>
        <w:t>. 一般公共服务支出人力资源事务行政运行。年初预算为</w:t>
      </w:r>
      <w:r>
        <w:rPr>
          <w:rFonts w:hint="eastAsia" w:ascii="仿宋_GB2312" w:hAnsi="仿宋_GB2312" w:eastAsia="仿宋_GB2312" w:cs="仿宋_GB2312"/>
          <w:sz w:val="32"/>
          <w:szCs w:val="32"/>
          <w:lang w:val="en-US" w:eastAsia="zh-CN"/>
        </w:rPr>
        <w:t>50.00</w:t>
      </w:r>
      <w:r>
        <w:rPr>
          <w:rFonts w:hint="eastAsia" w:ascii="仿宋_GB2312" w:hAnsi="仿宋_GB2312" w:eastAsia="仿宋_GB2312" w:cs="仿宋_GB2312"/>
          <w:sz w:val="32"/>
          <w:szCs w:val="32"/>
          <w:lang w:eastAsia="zh-CN"/>
        </w:rPr>
        <w:t>万元，支出决算为</w:t>
      </w:r>
      <w:r>
        <w:rPr>
          <w:rFonts w:hint="eastAsia" w:ascii="仿宋_GB2312" w:hAnsi="仿宋_GB2312" w:eastAsia="仿宋_GB2312" w:cs="仿宋_GB2312"/>
          <w:sz w:val="32"/>
          <w:szCs w:val="32"/>
          <w:lang w:val="en-US" w:eastAsia="zh-CN"/>
        </w:rPr>
        <w:t>50.00</w:t>
      </w:r>
      <w:r>
        <w:rPr>
          <w:rFonts w:hint="eastAsia" w:ascii="仿宋_GB2312" w:hAnsi="仿宋_GB2312" w:eastAsia="仿宋_GB2312" w:cs="仿宋_GB2312"/>
          <w:sz w:val="32"/>
          <w:szCs w:val="32"/>
          <w:lang w:eastAsia="zh-CN"/>
        </w:rPr>
        <w:t>万元，完成年初预算的100%。</w:t>
      </w:r>
    </w:p>
    <w:p>
      <w:pPr>
        <w:ind w:firstLine="640"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lang w:eastAsia="zh-CN"/>
        </w:rPr>
        <w:t>. 一般公共服务支出纪检监察事务行政运行。年初预算为</w:t>
      </w:r>
      <w:r>
        <w:rPr>
          <w:rFonts w:hint="eastAsia" w:ascii="仿宋_GB2312" w:hAnsi="仿宋_GB2312" w:eastAsia="仿宋_GB2312" w:cs="仿宋_GB2312"/>
          <w:sz w:val="32"/>
          <w:szCs w:val="32"/>
          <w:lang w:val="en-US" w:eastAsia="zh-CN"/>
        </w:rPr>
        <w:t>62.00</w:t>
      </w:r>
      <w:r>
        <w:rPr>
          <w:rFonts w:hint="eastAsia" w:ascii="仿宋_GB2312" w:hAnsi="仿宋_GB2312" w:eastAsia="仿宋_GB2312" w:cs="仿宋_GB2312"/>
          <w:sz w:val="32"/>
          <w:szCs w:val="32"/>
          <w:lang w:eastAsia="zh-CN"/>
        </w:rPr>
        <w:t>万元，支出决算为</w:t>
      </w:r>
      <w:r>
        <w:rPr>
          <w:rFonts w:hint="eastAsia" w:ascii="仿宋_GB2312" w:hAnsi="仿宋_GB2312" w:eastAsia="仿宋_GB2312" w:cs="仿宋_GB2312"/>
          <w:sz w:val="32"/>
          <w:szCs w:val="32"/>
          <w:lang w:val="en-US" w:eastAsia="zh-CN"/>
        </w:rPr>
        <w:t>62.00</w:t>
      </w:r>
      <w:r>
        <w:rPr>
          <w:rFonts w:hint="eastAsia" w:ascii="仿宋_GB2312" w:hAnsi="仿宋_GB2312" w:eastAsia="仿宋_GB2312" w:cs="仿宋_GB2312"/>
          <w:sz w:val="32"/>
          <w:szCs w:val="32"/>
          <w:lang w:eastAsia="zh-CN"/>
        </w:rPr>
        <w:t>万元，完成年初预算的100%。</w:t>
      </w:r>
    </w:p>
    <w:p>
      <w:pPr>
        <w:ind w:firstLine="640"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lang w:eastAsia="zh-CN"/>
        </w:rPr>
        <w:t>. 一般公共服务支出群众团体事务行政运行。年初预算为</w:t>
      </w:r>
      <w:r>
        <w:rPr>
          <w:rFonts w:hint="eastAsia" w:ascii="仿宋_GB2312" w:hAnsi="仿宋_GB2312" w:eastAsia="仿宋_GB2312" w:cs="仿宋_GB2312"/>
          <w:sz w:val="32"/>
          <w:szCs w:val="32"/>
          <w:lang w:val="en-US" w:eastAsia="zh-CN"/>
        </w:rPr>
        <w:t>77.00</w:t>
      </w:r>
      <w:r>
        <w:rPr>
          <w:rFonts w:hint="eastAsia" w:ascii="仿宋_GB2312" w:hAnsi="仿宋_GB2312" w:eastAsia="仿宋_GB2312" w:cs="仿宋_GB2312"/>
          <w:sz w:val="32"/>
          <w:szCs w:val="32"/>
          <w:lang w:eastAsia="zh-CN"/>
        </w:rPr>
        <w:t>万元，支出决算为</w:t>
      </w:r>
      <w:r>
        <w:rPr>
          <w:rFonts w:hint="eastAsia" w:ascii="仿宋_GB2312" w:hAnsi="仿宋_GB2312" w:eastAsia="仿宋_GB2312" w:cs="仿宋_GB2312"/>
          <w:sz w:val="32"/>
          <w:szCs w:val="32"/>
          <w:lang w:val="en-US" w:eastAsia="zh-CN"/>
        </w:rPr>
        <w:t>77.00</w:t>
      </w:r>
      <w:r>
        <w:rPr>
          <w:rFonts w:hint="eastAsia" w:ascii="仿宋_GB2312" w:hAnsi="仿宋_GB2312" w:eastAsia="仿宋_GB2312" w:cs="仿宋_GB2312"/>
          <w:sz w:val="32"/>
          <w:szCs w:val="32"/>
          <w:lang w:eastAsia="zh-CN"/>
        </w:rPr>
        <w:t>万元，完成年初预算的100%。</w:t>
      </w:r>
    </w:p>
    <w:p>
      <w:pPr>
        <w:ind w:firstLine="640"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lang w:eastAsia="zh-CN"/>
        </w:rPr>
        <w:t>．教育支出普通教育小学教育。年初预算为</w:t>
      </w:r>
      <w:r>
        <w:rPr>
          <w:rFonts w:hint="eastAsia" w:ascii="仿宋_GB2312" w:hAnsi="仿宋_GB2312" w:eastAsia="仿宋_GB2312" w:cs="仿宋_GB2312"/>
          <w:sz w:val="32"/>
          <w:szCs w:val="32"/>
          <w:lang w:val="en-US" w:eastAsia="zh-CN"/>
        </w:rPr>
        <w:t>535.90</w:t>
      </w:r>
      <w:r>
        <w:rPr>
          <w:rFonts w:hint="eastAsia" w:ascii="仿宋_GB2312" w:hAnsi="仿宋_GB2312" w:eastAsia="仿宋_GB2312" w:cs="仿宋_GB2312"/>
          <w:sz w:val="32"/>
          <w:szCs w:val="32"/>
          <w:lang w:eastAsia="zh-CN"/>
        </w:rPr>
        <w:t>万元，支出决算为</w:t>
      </w:r>
      <w:r>
        <w:rPr>
          <w:rFonts w:hint="eastAsia" w:ascii="仿宋_GB2312" w:hAnsi="仿宋_GB2312" w:eastAsia="仿宋_GB2312" w:cs="仿宋_GB2312"/>
          <w:sz w:val="32"/>
          <w:szCs w:val="32"/>
          <w:lang w:val="en-US" w:eastAsia="zh-CN"/>
        </w:rPr>
        <w:t>535.90</w:t>
      </w:r>
      <w:r>
        <w:rPr>
          <w:rFonts w:hint="eastAsia" w:ascii="仿宋_GB2312" w:hAnsi="仿宋_GB2312" w:eastAsia="仿宋_GB2312" w:cs="仿宋_GB2312"/>
          <w:sz w:val="32"/>
          <w:szCs w:val="32"/>
          <w:lang w:eastAsia="zh-CN"/>
        </w:rPr>
        <w:t>万元，完成年初预算的100%。</w:t>
      </w:r>
    </w:p>
    <w:p>
      <w:pPr>
        <w:ind w:firstLine="640"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lang w:eastAsia="zh-CN"/>
        </w:rPr>
        <w:t>．教育支出普通教育初中教育。年初预算为</w:t>
      </w:r>
      <w:r>
        <w:rPr>
          <w:rFonts w:hint="eastAsia" w:ascii="仿宋_GB2312" w:hAnsi="仿宋_GB2312" w:eastAsia="仿宋_GB2312" w:cs="仿宋_GB2312"/>
          <w:sz w:val="32"/>
          <w:szCs w:val="32"/>
          <w:lang w:val="en-US" w:eastAsia="zh-CN"/>
        </w:rPr>
        <w:t>468.10</w:t>
      </w:r>
      <w:r>
        <w:rPr>
          <w:rFonts w:hint="eastAsia" w:ascii="仿宋_GB2312" w:hAnsi="仿宋_GB2312" w:eastAsia="仿宋_GB2312" w:cs="仿宋_GB2312"/>
          <w:sz w:val="32"/>
          <w:szCs w:val="32"/>
          <w:lang w:eastAsia="zh-CN"/>
        </w:rPr>
        <w:t>万元，支出决算为</w:t>
      </w:r>
      <w:r>
        <w:rPr>
          <w:rFonts w:hint="eastAsia" w:ascii="仿宋_GB2312" w:hAnsi="仿宋_GB2312" w:eastAsia="仿宋_GB2312" w:cs="仿宋_GB2312"/>
          <w:sz w:val="32"/>
          <w:szCs w:val="32"/>
          <w:lang w:val="en-US" w:eastAsia="zh-CN"/>
        </w:rPr>
        <w:t>468.10</w:t>
      </w:r>
      <w:r>
        <w:rPr>
          <w:rFonts w:hint="eastAsia" w:ascii="仿宋_GB2312" w:hAnsi="仿宋_GB2312" w:eastAsia="仿宋_GB2312" w:cs="仿宋_GB2312"/>
          <w:sz w:val="32"/>
          <w:szCs w:val="32"/>
          <w:lang w:eastAsia="zh-CN"/>
        </w:rPr>
        <w:t>万元，完成年初预算的100%。</w:t>
      </w:r>
    </w:p>
    <w:p>
      <w:pPr>
        <w:ind w:firstLine="640"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lang w:eastAsia="zh-CN"/>
        </w:rPr>
        <w:t>．科学技术支出科学技术管理事务行政运行。年初预算为</w:t>
      </w:r>
      <w:r>
        <w:rPr>
          <w:rFonts w:hint="eastAsia" w:ascii="仿宋_GB2312" w:hAnsi="仿宋_GB2312" w:eastAsia="仿宋_GB2312" w:cs="仿宋_GB2312"/>
          <w:sz w:val="32"/>
          <w:szCs w:val="32"/>
          <w:lang w:val="en-US" w:eastAsia="zh-CN"/>
        </w:rPr>
        <w:t>161.40</w:t>
      </w:r>
      <w:r>
        <w:rPr>
          <w:rFonts w:hint="eastAsia" w:ascii="仿宋_GB2312" w:hAnsi="仿宋_GB2312" w:eastAsia="仿宋_GB2312" w:cs="仿宋_GB2312"/>
          <w:sz w:val="32"/>
          <w:szCs w:val="32"/>
          <w:lang w:eastAsia="zh-CN"/>
        </w:rPr>
        <w:t>万元，支出决算为</w:t>
      </w:r>
      <w:r>
        <w:rPr>
          <w:rFonts w:hint="eastAsia" w:ascii="仿宋_GB2312" w:hAnsi="仿宋_GB2312" w:eastAsia="仿宋_GB2312" w:cs="仿宋_GB2312"/>
          <w:sz w:val="32"/>
          <w:szCs w:val="32"/>
          <w:lang w:val="en-US" w:eastAsia="zh-CN"/>
        </w:rPr>
        <w:t>161.40</w:t>
      </w:r>
      <w:r>
        <w:rPr>
          <w:rFonts w:hint="eastAsia" w:ascii="仿宋_GB2312" w:hAnsi="仿宋_GB2312" w:eastAsia="仿宋_GB2312" w:cs="仿宋_GB2312"/>
          <w:sz w:val="32"/>
          <w:szCs w:val="32"/>
          <w:lang w:eastAsia="zh-CN"/>
        </w:rPr>
        <w:t>万元，完成年初预算的100%。</w:t>
      </w:r>
    </w:p>
    <w:p>
      <w:pPr>
        <w:ind w:firstLine="640"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lang w:eastAsia="zh-CN"/>
        </w:rPr>
        <w:t>．科学技术支出基础研究机构运行。年初预算</w:t>
      </w:r>
      <w:r>
        <w:rPr>
          <w:rFonts w:hint="eastAsia" w:ascii="仿宋_GB2312" w:hAnsi="仿宋_GB2312" w:eastAsia="仿宋_GB2312" w:cs="仿宋_GB2312"/>
          <w:sz w:val="32"/>
          <w:szCs w:val="32"/>
          <w:lang w:val="en-US" w:eastAsia="zh-CN"/>
        </w:rPr>
        <w:t>170.60</w:t>
      </w:r>
      <w:r>
        <w:rPr>
          <w:rFonts w:hint="eastAsia" w:ascii="仿宋_GB2312" w:hAnsi="仿宋_GB2312" w:eastAsia="仿宋_GB2312" w:cs="仿宋_GB2312"/>
          <w:sz w:val="32"/>
          <w:szCs w:val="32"/>
          <w:lang w:eastAsia="zh-CN"/>
        </w:rPr>
        <w:t>万元，支出决算为</w:t>
      </w:r>
      <w:r>
        <w:rPr>
          <w:rFonts w:hint="eastAsia" w:ascii="仿宋_GB2312" w:hAnsi="仿宋_GB2312" w:eastAsia="仿宋_GB2312" w:cs="仿宋_GB2312"/>
          <w:sz w:val="32"/>
          <w:szCs w:val="32"/>
          <w:lang w:val="en-US" w:eastAsia="zh-CN"/>
        </w:rPr>
        <w:t>170.60</w:t>
      </w:r>
      <w:r>
        <w:rPr>
          <w:rFonts w:hint="eastAsia" w:ascii="仿宋_GB2312" w:hAnsi="仿宋_GB2312" w:eastAsia="仿宋_GB2312" w:cs="仿宋_GB2312"/>
          <w:sz w:val="32"/>
          <w:szCs w:val="32"/>
          <w:lang w:eastAsia="zh-CN"/>
        </w:rPr>
        <w:t>万元，完成年初预算的100%。</w:t>
      </w:r>
    </w:p>
    <w:p>
      <w:pPr>
        <w:ind w:firstLine="640"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13</w:t>
      </w:r>
      <w:r>
        <w:rPr>
          <w:rFonts w:hint="eastAsia" w:ascii="仿宋_GB2312" w:hAnsi="仿宋_GB2312" w:eastAsia="仿宋_GB2312" w:cs="仿宋_GB2312"/>
          <w:sz w:val="32"/>
          <w:szCs w:val="32"/>
          <w:lang w:eastAsia="zh-CN"/>
        </w:rPr>
        <w:t>．卫生健康支出卫生健康管理事务行政运行。年初预算为</w:t>
      </w:r>
      <w:r>
        <w:rPr>
          <w:rFonts w:hint="eastAsia" w:ascii="仿宋_GB2312" w:hAnsi="仿宋_GB2312" w:eastAsia="仿宋_GB2312" w:cs="仿宋_GB2312"/>
          <w:sz w:val="32"/>
          <w:szCs w:val="32"/>
          <w:lang w:val="en-US" w:eastAsia="zh-CN"/>
        </w:rPr>
        <w:t>149.00</w:t>
      </w:r>
      <w:r>
        <w:rPr>
          <w:rFonts w:hint="eastAsia" w:ascii="仿宋_GB2312" w:hAnsi="仿宋_GB2312" w:eastAsia="仿宋_GB2312" w:cs="仿宋_GB2312"/>
          <w:sz w:val="32"/>
          <w:szCs w:val="32"/>
          <w:lang w:eastAsia="zh-CN"/>
        </w:rPr>
        <w:t>万元，支出决算为</w:t>
      </w:r>
      <w:r>
        <w:rPr>
          <w:rFonts w:hint="eastAsia" w:ascii="仿宋_GB2312" w:hAnsi="仿宋_GB2312" w:eastAsia="仿宋_GB2312" w:cs="仿宋_GB2312"/>
          <w:sz w:val="32"/>
          <w:szCs w:val="32"/>
          <w:lang w:val="en-US" w:eastAsia="zh-CN"/>
        </w:rPr>
        <w:t>149.00</w:t>
      </w:r>
      <w:r>
        <w:rPr>
          <w:rFonts w:hint="eastAsia" w:ascii="仿宋_GB2312" w:hAnsi="仿宋_GB2312" w:eastAsia="仿宋_GB2312" w:cs="仿宋_GB2312"/>
          <w:sz w:val="32"/>
          <w:szCs w:val="32"/>
          <w:lang w:eastAsia="zh-CN"/>
        </w:rPr>
        <w:t>万元，完成年初预算的100%。</w:t>
      </w:r>
    </w:p>
    <w:p>
      <w:pPr>
        <w:ind w:firstLine="640"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14</w:t>
      </w:r>
      <w:r>
        <w:rPr>
          <w:rFonts w:hint="eastAsia" w:ascii="仿宋_GB2312" w:hAnsi="仿宋_GB2312" w:eastAsia="仿宋_GB2312" w:cs="仿宋_GB2312"/>
          <w:sz w:val="32"/>
          <w:szCs w:val="32"/>
          <w:lang w:eastAsia="zh-CN"/>
        </w:rPr>
        <w:t>．节能环保支出环境保护管理事务行政运行。年初预算为</w:t>
      </w:r>
      <w:r>
        <w:rPr>
          <w:rFonts w:hint="eastAsia" w:ascii="仿宋_GB2312" w:hAnsi="仿宋_GB2312" w:eastAsia="仿宋_GB2312" w:cs="仿宋_GB2312"/>
          <w:sz w:val="32"/>
          <w:szCs w:val="32"/>
          <w:lang w:val="en-US" w:eastAsia="zh-CN"/>
        </w:rPr>
        <w:t>230.00</w:t>
      </w:r>
      <w:r>
        <w:rPr>
          <w:rFonts w:hint="eastAsia" w:ascii="仿宋_GB2312" w:hAnsi="仿宋_GB2312" w:eastAsia="仿宋_GB2312" w:cs="仿宋_GB2312"/>
          <w:sz w:val="32"/>
          <w:szCs w:val="32"/>
          <w:lang w:eastAsia="zh-CN"/>
        </w:rPr>
        <w:t>万元，支出决算为</w:t>
      </w:r>
      <w:r>
        <w:rPr>
          <w:rFonts w:hint="eastAsia" w:ascii="仿宋_GB2312" w:hAnsi="仿宋_GB2312" w:eastAsia="仿宋_GB2312" w:cs="仿宋_GB2312"/>
          <w:sz w:val="32"/>
          <w:szCs w:val="32"/>
          <w:lang w:val="en-US" w:eastAsia="zh-CN"/>
        </w:rPr>
        <w:t>230.00</w:t>
      </w:r>
      <w:r>
        <w:rPr>
          <w:rFonts w:hint="eastAsia" w:ascii="仿宋_GB2312" w:hAnsi="仿宋_GB2312" w:eastAsia="仿宋_GB2312" w:cs="仿宋_GB2312"/>
          <w:sz w:val="32"/>
          <w:szCs w:val="32"/>
          <w:lang w:eastAsia="zh-CN"/>
        </w:rPr>
        <w:t>万元，完成年初预算的100%。</w:t>
      </w:r>
    </w:p>
    <w:p>
      <w:pPr>
        <w:ind w:firstLine="640"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15</w:t>
      </w:r>
      <w:r>
        <w:rPr>
          <w:rFonts w:hint="eastAsia" w:ascii="仿宋_GB2312" w:hAnsi="仿宋_GB2312" w:eastAsia="仿宋_GB2312" w:cs="仿宋_GB2312"/>
          <w:sz w:val="32"/>
          <w:szCs w:val="32"/>
          <w:lang w:eastAsia="zh-CN"/>
        </w:rPr>
        <w:t>．城乡社区支出城乡社区规划与管理城乡社区规划与管理。年初预算为</w:t>
      </w:r>
      <w:r>
        <w:rPr>
          <w:rFonts w:hint="eastAsia" w:ascii="仿宋_GB2312" w:hAnsi="仿宋_GB2312" w:eastAsia="仿宋_GB2312" w:cs="仿宋_GB2312"/>
          <w:sz w:val="32"/>
          <w:szCs w:val="32"/>
          <w:lang w:val="en-US" w:eastAsia="zh-CN"/>
        </w:rPr>
        <w:t>122.00</w:t>
      </w:r>
      <w:r>
        <w:rPr>
          <w:rFonts w:hint="eastAsia" w:ascii="仿宋_GB2312" w:hAnsi="仿宋_GB2312" w:eastAsia="仿宋_GB2312" w:cs="仿宋_GB2312"/>
          <w:sz w:val="32"/>
          <w:szCs w:val="32"/>
          <w:lang w:eastAsia="zh-CN"/>
        </w:rPr>
        <w:t>万元，支出决算为</w:t>
      </w:r>
      <w:r>
        <w:rPr>
          <w:rFonts w:hint="eastAsia" w:ascii="仿宋_GB2312" w:hAnsi="仿宋_GB2312" w:eastAsia="仿宋_GB2312" w:cs="仿宋_GB2312"/>
          <w:sz w:val="32"/>
          <w:szCs w:val="32"/>
          <w:lang w:val="en-US" w:eastAsia="zh-CN"/>
        </w:rPr>
        <w:t>122.00</w:t>
      </w:r>
      <w:r>
        <w:rPr>
          <w:rFonts w:hint="eastAsia" w:ascii="仿宋_GB2312" w:hAnsi="仿宋_GB2312" w:eastAsia="仿宋_GB2312" w:cs="仿宋_GB2312"/>
          <w:sz w:val="32"/>
          <w:szCs w:val="32"/>
          <w:lang w:eastAsia="zh-CN"/>
        </w:rPr>
        <w:t>万元，完成年初预算的100%。</w:t>
      </w:r>
    </w:p>
    <w:p>
      <w:pPr>
        <w:ind w:firstLine="640"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16</w:t>
      </w:r>
      <w:r>
        <w:rPr>
          <w:rFonts w:hint="eastAsia" w:ascii="仿宋_GB2312" w:hAnsi="仿宋_GB2312" w:eastAsia="仿宋_GB2312" w:cs="仿宋_GB2312"/>
          <w:sz w:val="32"/>
          <w:szCs w:val="32"/>
          <w:lang w:eastAsia="zh-CN"/>
        </w:rPr>
        <w:t>．农林水支出农业农村行政运行。年初预算为</w:t>
      </w:r>
      <w:r>
        <w:rPr>
          <w:rFonts w:hint="eastAsia" w:ascii="仿宋_GB2312" w:hAnsi="仿宋_GB2312" w:eastAsia="仿宋_GB2312" w:cs="仿宋_GB2312"/>
          <w:sz w:val="32"/>
          <w:szCs w:val="32"/>
          <w:lang w:val="en-US" w:eastAsia="zh-CN"/>
        </w:rPr>
        <w:t>530.00</w:t>
      </w:r>
      <w:r>
        <w:rPr>
          <w:rFonts w:hint="eastAsia" w:ascii="仿宋_GB2312" w:hAnsi="仿宋_GB2312" w:eastAsia="仿宋_GB2312" w:cs="仿宋_GB2312"/>
          <w:sz w:val="32"/>
          <w:szCs w:val="32"/>
          <w:lang w:eastAsia="zh-CN"/>
        </w:rPr>
        <w:t>万元，支出决算为</w:t>
      </w:r>
      <w:r>
        <w:rPr>
          <w:rFonts w:hint="eastAsia" w:ascii="仿宋_GB2312" w:hAnsi="仿宋_GB2312" w:eastAsia="仿宋_GB2312" w:cs="仿宋_GB2312"/>
          <w:sz w:val="32"/>
          <w:szCs w:val="32"/>
          <w:lang w:val="en-US" w:eastAsia="zh-CN"/>
        </w:rPr>
        <w:t>530.00</w:t>
      </w:r>
      <w:r>
        <w:rPr>
          <w:rFonts w:hint="eastAsia" w:ascii="仿宋_GB2312" w:hAnsi="仿宋_GB2312" w:eastAsia="仿宋_GB2312" w:cs="仿宋_GB2312"/>
          <w:sz w:val="32"/>
          <w:szCs w:val="32"/>
          <w:lang w:eastAsia="zh-CN"/>
        </w:rPr>
        <w:t>万元，完成年初预算的100%。</w:t>
      </w:r>
    </w:p>
    <w:p>
      <w:pPr>
        <w:ind w:firstLine="640"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17</w:t>
      </w:r>
      <w:r>
        <w:rPr>
          <w:rFonts w:hint="eastAsia" w:ascii="仿宋_GB2312" w:hAnsi="仿宋_GB2312" w:eastAsia="仿宋_GB2312" w:cs="仿宋_GB2312"/>
          <w:sz w:val="32"/>
          <w:szCs w:val="32"/>
          <w:lang w:eastAsia="zh-CN"/>
        </w:rPr>
        <w:t>．交通运输支出其他交通运输支出其他交通运输支出。年初预算为</w:t>
      </w:r>
      <w:r>
        <w:rPr>
          <w:rFonts w:hint="eastAsia" w:ascii="仿宋_GB2312" w:hAnsi="仿宋_GB2312" w:eastAsia="仿宋_GB2312" w:cs="仿宋_GB2312"/>
          <w:sz w:val="32"/>
          <w:szCs w:val="32"/>
          <w:lang w:val="en-US" w:eastAsia="zh-CN"/>
        </w:rPr>
        <w:t>690.00</w:t>
      </w:r>
      <w:r>
        <w:rPr>
          <w:rFonts w:hint="eastAsia" w:ascii="仿宋_GB2312" w:hAnsi="仿宋_GB2312" w:eastAsia="仿宋_GB2312" w:cs="仿宋_GB2312"/>
          <w:sz w:val="32"/>
          <w:szCs w:val="32"/>
          <w:lang w:eastAsia="zh-CN"/>
        </w:rPr>
        <w:t>万元，支出决算为</w:t>
      </w:r>
      <w:r>
        <w:rPr>
          <w:rFonts w:hint="eastAsia" w:ascii="仿宋_GB2312" w:hAnsi="仿宋_GB2312" w:eastAsia="仿宋_GB2312" w:cs="仿宋_GB2312"/>
          <w:sz w:val="32"/>
          <w:szCs w:val="32"/>
          <w:lang w:val="en-US" w:eastAsia="zh-CN"/>
        </w:rPr>
        <w:t>690.00</w:t>
      </w:r>
      <w:r>
        <w:rPr>
          <w:rFonts w:hint="eastAsia" w:ascii="仿宋_GB2312" w:hAnsi="仿宋_GB2312" w:eastAsia="仿宋_GB2312" w:cs="仿宋_GB2312"/>
          <w:sz w:val="32"/>
          <w:szCs w:val="32"/>
          <w:lang w:eastAsia="zh-CN"/>
        </w:rPr>
        <w:t>万元，完成年初预算的100%。</w:t>
      </w:r>
    </w:p>
    <w:p>
      <w:pPr>
        <w:ind w:firstLine="640"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18</w:t>
      </w:r>
      <w:r>
        <w:rPr>
          <w:rFonts w:hint="eastAsia" w:ascii="仿宋_GB2312" w:hAnsi="仿宋_GB2312" w:eastAsia="仿宋_GB2312" w:cs="仿宋_GB2312"/>
          <w:sz w:val="32"/>
          <w:szCs w:val="32"/>
          <w:lang w:eastAsia="zh-CN"/>
        </w:rPr>
        <w:t>．自然资源海洋气象等支出自然资源事务行政运行。年初预算为</w:t>
      </w:r>
      <w:r>
        <w:rPr>
          <w:rFonts w:hint="eastAsia" w:ascii="仿宋_GB2312" w:hAnsi="仿宋_GB2312" w:eastAsia="仿宋_GB2312" w:cs="仿宋_GB2312"/>
          <w:sz w:val="32"/>
          <w:szCs w:val="32"/>
          <w:lang w:val="en-US" w:eastAsia="zh-CN"/>
        </w:rPr>
        <w:t>666.00</w:t>
      </w:r>
      <w:r>
        <w:rPr>
          <w:rFonts w:hint="eastAsia" w:ascii="仿宋_GB2312" w:hAnsi="仿宋_GB2312" w:eastAsia="仿宋_GB2312" w:cs="仿宋_GB2312"/>
          <w:sz w:val="32"/>
          <w:szCs w:val="32"/>
          <w:lang w:eastAsia="zh-CN"/>
        </w:rPr>
        <w:t>万元，支出决算为</w:t>
      </w:r>
      <w:r>
        <w:rPr>
          <w:rFonts w:hint="eastAsia" w:ascii="仿宋_GB2312" w:hAnsi="仿宋_GB2312" w:eastAsia="仿宋_GB2312" w:cs="仿宋_GB2312"/>
          <w:sz w:val="32"/>
          <w:szCs w:val="32"/>
          <w:lang w:val="en-US" w:eastAsia="zh-CN"/>
        </w:rPr>
        <w:t>666.00</w:t>
      </w:r>
      <w:r>
        <w:rPr>
          <w:rFonts w:hint="eastAsia" w:ascii="仿宋_GB2312" w:hAnsi="仿宋_GB2312" w:eastAsia="仿宋_GB2312" w:cs="仿宋_GB2312"/>
          <w:sz w:val="32"/>
          <w:szCs w:val="32"/>
          <w:lang w:eastAsia="zh-CN"/>
        </w:rPr>
        <w:t>万元，完成年初预算的100%。</w:t>
      </w:r>
    </w:p>
    <w:p>
      <w:pPr>
        <w:ind w:firstLine="640"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19</w:t>
      </w:r>
      <w:r>
        <w:rPr>
          <w:rFonts w:hint="eastAsia" w:ascii="仿宋_GB2312" w:hAnsi="仿宋_GB2312" w:eastAsia="仿宋_GB2312" w:cs="仿宋_GB2312"/>
          <w:sz w:val="32"/>
          <w:szCs w:val="32"/>
          <w:lang w:eastAsia="zh-CN"/>
        </w:rPr>
        <w:t>．灾害防治及应急管理支出应急管理事务行政运行。年初预算为</w:t>
      </w:r>
      <w:r>
        <w:rPr>
          <w:rFonts w:hint="eastAsia" w:ascii="仿宋_GB2312" w:hAnsi="仿宋_GB2312" w:eastAsia="仿宋_GB2312" w:cs="仿宋_GB2312"/>
          <w:sz w:val="32"/>
          <w:szCs w:val="32"/>
          <w:lang w:val="en-US" w:eastAsia="zh-CN"/>
        </w:rPr>
        <w:t>278.00</w:t>
      </w:r>
      <w:r>
        <w:rPr>
          <w:rFonts w:hint="eastAsia" w:ascii="仿宋_GB2312" w:hAnsi="仿宋_GB2312" w:eastAsia="仿宋_GB2312" w:cs="仿宋_GB2312"/>
          <w:sz w:val="32"/>
          <w:szCs w:val="32"/>
          <w:lang w:eastAsia="zh-CN"/>
        </w:rPr>
        <w:t>万元，支出决算为</w:t>
      </w:r>
      <w:r>
        <w:rPr>
          <w:rFonts w:hint="eastAsia" w:ascii="仿宋_GB2312" w:hAnsi="仿宋_GB2312" w:eastAsia="仿宋_GB2312" w:cs="仿宋_GB2312"/>
          <w:sz w:val="32"/>
          <w:szCs w:val="32"/>
          <w:lang w:val="en-US" w:eastAsia="zh-CN"/>
        </w:rPr>
        <w:t>278.00</w:t>
      </w:r>
      <w:r>
        <w:rPr>
          <w:rFonts w:hint="eastAsia" w:ascii="仿宋_GB2312" w:hAnsi="仿宋_GB2312" w:eastAsia="仿宋_GB2312" w:cs="仿宋_GB2312"/>
          <w:sz w:val="32"/>
          <w:szCs w:val="32"/>
          <w:lang w:eastAsia="zh-CN"/>
        </w:rPr>
        <w:t>万元，完成年初预算的100%。</w:t>
      </w:r>
    </w:p>
    <w:p>
      <w:pPr>
        <w:ind w:firstLine="640" w:firstLineChars="200"/>
        <w:jc w:val="left"/>
        <w:rPr>
          <w:rFonts w:hint="eastAsia" w:ascii="黑体" w:hAnsi="黑体" w:eastAsia="黑体" w:cs="黑体"/>
          <w:b w:val="0"/>
          <w:bCs w:val="0"/>
          <w:sz w:val="32"/>
          <w:szCs w:val="32"/>
        </w:rPr>
      </w:pPr>
      <w:r>
        <w:rPr>
          <w:rFonts w:hint="eastAsia" w:ascii="黑体" w:hAnsi="黑体" w:eastAsia="黑体" w:cs="黑体"/>
          <w:b w:val="0"/>
          <w:bCs w:val="0"/>
          <w:sz w:val="32"/>
          <w:szCs w:val="32"/>
        </w:rPr>
        <w:t>五、一般公共预算财政拨款基本支出决算情况说明</w:t>
      </w:r>
    </w:p>
    <w:p>
      <w:pPr>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年度</w:t>
      </w:r>
      <w:r>
        <w:rPr>
          <w:rFonts w:hint="eastAsia" w:ascii="仿宋_GB2312" w:hAnsi="仿宋_GB2312" w:eastAsia="仿宋_GB2312" w:cs="仿宋_GB2312"/>
          <w:sz w:val="32"/>
          <w:szCs w:val="32"/>
          <w:lang w:eastAsia="zh-CN"/>
        </w:rPr>
        <w:t>区本级</w:t>
      </w:r>
      <w:r>
        <w:rPr>
          <w:rFonts w:hint="eastAsia" w:ascii="仿宋_GB2312" w:hAnsi="仿宋_GB2312" w:eastAsia="仿宋_GB2312" w:cs="仿宋_GB2312"/>
          <w:sz w:val="32"/>
          <w:szCs w:val="32"/>
        </w:rPr>
        <w:t>一般公共预算财政拨款基本支</w:t>
      </w:r>
      <w:r>
        <w:rPr>
          <w:rFonts w:hint="eastAsia" w:ascii="仿宋_GB2312" w:hAnsi="仿宋_GB2312" w:eastAsia="仿宋_GB2312" w:cs="仿宋_GB2312"/>
          <w:sz w:val="32"/>
          <w:szCs w:val="32"/>
          <w:lang w:val="en-US" w:eastAsia="zh-CN"/>
        </w:rPr>
        <w:t>7321.00</w:t>
      </w:r>
      <w:r>
        <w:rPr>
          <w:rFonts w:hint="eastAsia" w:ascii="仿宋_GB2312" w:hAnsi="仿宋_GB2312" w:eastAsia="仿宋_GB2312" w:cs="仿宋_GB2312"/>
          <w:sz w:val="32"/>
          <w:szCs w:val="32"/>
        </w:rPr>
        <w:t>万元。其中：人员经费4</w:t>
      </w:r>
      <w:r>
        <w:rPr>
          <w:rFonts w:hint="eastAsia" w:ascii="仿宋_GB2312" w:hAnsi="仿宋_GB2312" w:eastAsia="仿宋_GB2312" w:cs="仿宋_GB2312"/>
          <w:sz w:val="32"/>
          <w:szCs w:val="32"/>
          <w:lang w:val="en-US" w:eastAsia="zh-CN"/>
        </w:rPr>
        <w:t>581.00</w:t>
      </w:r>
      <w:r>
        <w:rPr>
          <w:rFonts w:hint="eastAsia" w:ascii="仿宋_GB2312" w:hAnsi="仿宋_GB2312" w:eastAsia="仿宋_GB2312" w:cs="仿宋_GB2312"/>
          <w:sz w:val="32"/>
          <w:szCs w:val="32"/>
        </w:rPr>
        <w:t>万元，主要包括：基本工资、津贴补贴、</w:t>
      </w:r>
      <w:r>
        <w:rPr>
          <w:rFonts w:hint="eastAsia" w:ascii="仿宋_GB2312" w:hAnsi="仿宋_GB2312" w:eastAsia="仿宋_GB2312" w:cs="仿宋_GB2312"/>
          <w:sz w:val="32"/>
          <w:szCs w:val="32"/>
          <w:lang w:eastAsia="zh-CN"/>
        </w:rPr>
        <w:t>奖金、</w:t>
      </w:r>
      <w:r>
        <w:rPr>
          <w:rFonts w:hint="eastAsia" w:ascii="仿宋_GB2312" w:hAnsi="仿宋_GB2312" w:eastAsia="仿宋_GB2312" w:cs="仿宋_GB2312"/>
          <w:sz w:val="32"/>
          <w:szCs w:val="32"/>
        </w:rPr>
        <w:t>绩效工资、机关事业单位基本养老保险缴费、</w:t>
      </w:r>
      <w:r>
        <w:rPr>
          <w:rFonts w:hint="eastAsia" w:ascii="仿宋_GB2312" w:hAnsi="仿宋_GB2312" w:eastAsia="仿宋_GB2312" w:cs="仿宋_GB2312"/>
          <w:sz w:val="32"/>
          <w:szCs w:val="32"/>
          <w:lang w:eastAsia="zh-CN"/>
        </w:rPr>
        <w:t>职工基本医疗保险缴费、公务员医疗保险缴费、</w:t>
      </w:r>
      <w:r>
        <w:rPr>
          <w:rFonts w:hint="eastAsia" w:ascii="仿宋_GB2312" w:hAnsi="仿宋_GB2312" w:eastAsia="仿宋_GB2312" w:cs="仿宋_GB2312"/>
          <w:sz w:val="32"/>
          <w:szCs w:val="32"/>
        </w:rPr>
        <w:t>其他社会保障缴费、</w:t>
      </w:r>
      <w:r>
        <w:rPr>
          <w:rFonts w:hint="eastAsia" w:ascii="仿宋_GB2312" w:hAnsi="仿宋_GB2312" w:eastAsia="仿宋_GB2312" w:cs="仿宋_GB2312"/>
          <w:sz w:val="32"/>
          <w:szCs w:val="32"/>
          <w:lang w:eastAsia="zh-CN"/>
        </w:rPr>
        <w:t>住房公积金、</w:t>
      </w:r>
      <w:r>
        <w:rPr>
          <w:rFonts w:hint="eastAsia" w:ascii="仿宋_GB2312" w:hAnsi="仿宋_GB2312" w:eastAsia="仿宋_GB2312" w:cs="仿宋_GB2312"/>
          <w:sz w:val="32"/>
          <w:szCs w:val="32"/>
        </w:rPr>
        <w:t>其他工资福利支出、</w:t>
      </w:r>
      <w:r>
        <w:rPr>
          <w:rFonts w:hint="eastAsia" w:ascii="仿宋_GB2312" w:hAnsi="仿宋_GB2312" w:eastAsia="仿宋_GB2312" w:cs="仿宋_GB2312"/>
          <w:sz w:val="32"/>
          <w:szCs w:val="32"/>
          <w:lang w:eastAsia="zh-CN"/>
        </w:rPr>
        <w:t>退</w:t>
      </w:r>
      <w:r>
        <w:rPr>
          <w:rFonts w:hint="eastAsia" w:ascii="仿宋_GB2312" w:hAnsi="仿宋_GB2312" w:eastAsia="仿宋_GB2312" w:cs="仿宋_GB2312"/>
          <w:sz w:val="32"/>
          <w:szCs w:val="32"/>
        </w:rPr>
        <w:t>休费、退</w:t>
      </w:r>
      <w:r>
        <w:rPr>
          <w:rFonts w:hint="eastAsia" w:ascii="仿宋_GB2312" w:hAnsi="仿宋_GB2312" w:eastAsia="仿宋_GB2312" w:cs="仿宋_GB2312"/>
          <w:sz w:val="32"/>
          <w:szCs w:val="32"/>
          <w:lang w:eastAsia="zh-CN"/>
        </w:rPr>
        <w:t>职（役）</w:t>
      </w:r>
      <w:r>
        <w:rPr>
          <w:rFonts w:hint="eastAsia" w:ascii="仿宋_GB2312" w:hAnsi="仿宋_GB2312" w:eastAsia="仿宋_GB2312" w:cs="仿宋_GB2312"/>
          <w:sz w:val="32"/>
          <w:szCs w:val="32"/>
        </w:rPr>
        <w:t>费、抚恤金、生活补助、</w:t>
      </w:r>
      <w:r>
        <w:rPr>
          <w:rFonts w:hint="eastAsia" w:ascii="仿宋_GB2312" w:hAnsi="仿宋_GB2312" w:eastAsia="仿宋_GB2312" w:cs="仿宋_GB2312"/>
          <w:sz w:val="32"/>
          <w:szCs w:val="32"/>
          <w:lang w:eastAsia="zh-CN"/>
        </w:rPr>
        <w:t>救济费、</w:t>
      </w:r>
      <w:r>
        <w:rPr>
          <w:rFonts w:hint="eastAsia" w:ascii="仿宋_GB2312" w:hAnsi="仿宋_GB2312" w:eastAsia="仿宋_GB2312" w:cs="仿宋_GB2312"/>
          <w:sz w:val="32"/>
          <w:szCs w:val="32"/>
        </w:rPr>
        <w:t>医疗费</w:t>
      </w:r>
      <w:r>
        <w:rPr>
          <w:rFonts w:hint="eastAsia" w:ascii="仿宋_GB2312" w:hAnsi="仿宋_GB2312" w:eastAsia="仿宋_GB2312" w:cs="仿宋_GB2312"/>
          <w:sz w:val="32"/>
          <w:szCs w:val="32"/>
          <w:lang w:eastAsia="zh-CN"/>
        </w:rPr>
        <w:t>补助</w:t>
      </w:r>
      <w:r>
        <w:rPr>
          <w:rFonts w:hint="eastAsia" w:ascii="仿宋_GB2312" w:hAnsi="仿宋_GB2312" w:eastAsia="仿宋_GB2312" w:cs="仿宋_GB2312"/>
          <w:sz w:val="32"/>
          <w:szCs w:val="32"/>
        </w:rPr>
        <w:t>、奖励金、其他对个人和家庭的补助支出；公用经费</w:t>
      </w:r>
      <w:r>
        <w:rPr>
          <w:rFonts w:hint="eastAsia" w:ascii="仿宋_GB2312" w:hAnsi="仿宋_GB2312" w:eastAsia="仿宋_GB2312" w:cs="仿宋_GB2312"/>
          <w:sz w:val="32"/>
          <w:szCs w:val="32"/>
          <w:lang w:val="en-US" w:eastAsia="zh-CN"/>
        </w:rPr>
        <w:t>2740</w:t>
      </w:r>
      <w:r>
        <w:rPr>
          <w:rFonts w:hint="eastAsia" w:ascii="仿宋_GB2312" w:hAnsi="仿宋_GB2312" w:eastAsia="仿宋_GB2312" w:cs="仿宋_GB2312"/>
          <w:sz w:val="32"/>
          <w:szCs w:val="32"/>
        </w:rPr>
        <w:t>.00万元，主要包括：办公费、印刷费、咨询费、水费、电费、邮电费、物业管理费、差旅费、维修（护）费、租赁费、会议费、培训费、公务接待费、专用材料费、</w:t>
      </w:r>
      <w:r>
        <w:rPr>
          <w:rFonts w:hint="eastAsia" w:ascii="仿宋_GB2312" w:hAnsi="仿宋_GB2312" w:eastAsia="仿宋_GB2312" w:cs="仿宋_GB2312"/>
          <w:sz w:val="32"/>
          <w:szCs w:val="32"/>
          <w:lang w:eastAsia="zh-CN"/>
        </w:rPr>
        <w:t>专用燃料费、</w:t>
      </w:r>
      <w:r>
        <w:rPr>
          <w:rFonts w:hint="eastAsia" w:ascii="仿宋_GB2312" w:hAnsi="仿宋_GB2312" w:eastAsia="仿宋_GB2312" w:cs="仿宋_GB2312"/>
          <w:sz w:val="32"/>
          <w:szCs w:val="32"/>
        </w:rPr>
        <w:t>劳务费、委托业务费、公务用车运行维护费、其他交通费用、其他商品和服务支出、办公设备购置。</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w:t>
      </w:r>
      <w:r>
        <w:rPr>
          <w:rFonts w:hint="eastAsia" w:ascii="黑体" w:hAnsi="黑体" w:eastAsia="黑体" w:cs="黑体"/>
          <w:sz w:val="32"/>
          <w:szCs w:val="32"/>
        </w:rPr>
        <w:t xml:space="preserve"> </w:t>
      </w:r>
      <w:r>
        <w:rPr>
          <w:rFonts w:hint="eastAsia" w:ascii="黑体" w:hAnsi="黑体" w:eastAsia="黑体" w:cs="黑体"/>
          <w:b w:val="0"/>
          <w:bCs w:val="0"/>
          <w:sz w:val="32"/>
          <w:szCs w:val="32"/>
        </w:rPr>
        <w:t>六、一般公共预算财政拨款“三公”经费支出决算情况说明</w:t>
      </w:r>
      <w:r>
        <w:rPr>
          <w:rFonts w:hint="eastAsia" w:ascii="黑体" w:hAnsi="黑体" w:eastAsia="黑体" w:cs="黑体"/>
          <w:b w:val="0"/>
          <w:bCs w:val="0"/>
          <w:sz w:val="32"/>
          <w:szCs w:val="32"/>
        </w:rPr>
        <w:br w:type="textWrapping"/>
      </w:r>
      <w:r>
        <w:rPr>
          <w:rFonts w:hint="eastAsia" w:ascii="仿宋_GB2312" w:hAnsi="仿宋_GB2312" w:eastAsia="仿宋_GB2312" w:cs="仿宋_GB2312"/>
          <w:sz w:val="32"/>
          <w:szCs w:val="32"/>
        </w:rPr>
        <w:t xml:space="preserve">     区本级</w:t>
      </w:r>
      <w:r>
        <w:rPr>
          <w:rFonts w:hint="eastAsia" w:ascii="仿宋_GB2312" w:hAnsi="仿宋_GB2312" w:eastAsia="仿宋_GB2312" w:cs="仿宋_GB2312"/>
          <w:sz w:val="32"/>
          <w:szCs w:val="32"/>
          <w:lang w:val="en-US" w:eastAsia="zh-CN"/>
        </w:rPr>
        <w:t>2020</w:t>
      </w:r>
      <w:r>
        <w:rPr>
          <w:rFonts w:hint="eastAsia" w:ascii="仿宋_GB2312" w:hAnsi="仿宋_GB2312" w:eastAsia="仿宋_GB2312" w:cs="仿宋_GB2312"/>
          <w:sz w:val="32"/>
          <w:szCs w:val="32"/>
        </w:rPr>
        <w:t>年“三公”经费财政拨款支出决算为</w:t>
      </w:r>
      <w:r>
        <w:rPr>
          <w:rFonts w:hint="eastAsia" w:ascii="仿宋_GB2312" w:hAnsi="仿宋_GB2312" w:eastAsia="仿宋_GB2312" w:cs="仿宋_GB2312"/>
          <w:sz w:val="32"/>
          <w:szCs w:val="32"/>
          <w:lang w:val="en-US" w:eastAsia="zh-CN"/>
        </w:rPr>
        <w:t>64.00</w:t>
      </w:r>
      <w:r>
        <w:rPr>
          <w:rFonts w:hint="eastAsia" w:ascii="仿宋_GB2312" w:hAnsi="仿宋_GB2312" w:eastAsia="仿宋_GB2312" w:cs="仿宋_GB2312"/>
          <w:sz w:val="32"/>
          <w:szCs w:val="32"/>
        </w:rPr>
        <w:t>万元，我区严格执行中央“八项规定”，根据市纪委及市审计有关部门工作要求，压缩公务接待开支，在公务接待活动管理方面，严格实行公务接待备案制度，严格控制招待费的使用，制订了费用的使用范围、标准，杜绝铺张浪费。在公务用车管理方面，我区严格遵循保障公务、经济适用、厉行节约、实事求是的原则。</w:t>
      </w:r>
    </w:p>
    <w:p>
      <w:pPr>
        <w:pStyle w:val="4"/>
        <w:autoSpaceDE w:val="0"/>
        <w:spacing w:before="0" w:beforeAutospacing="0" w:after="0" w:afterAutospacing="0" w:line="560" w:lineRule="exact"/>
        <w:ind w:firstLine="640" w:firstLineChars="200"/>
        <w:rPr>
          <w:rFonts w:hint="eastAsia"/>
        </w:rPr>
      </w:pPr>
      <w:r>
        <w:rPr>
          <w:rFonts w:hint="eastAsia" w:ascii="黑体" w:hAnsi="黑体" w:eastAsia="黑体"/>
          <w:kern w:val="2"/>
          <w:sz w:val="32"/>
          <w:szCs w:val="32"/>
          <w:lang w:eastAsia="zh-CN"/>
        </w:rPr>
        <w:t>七</w:t>
      </w:r>
      <w:r>
        <w:rPr>
          <w:rFonts w:hint="eastAsia" w:ascii="黑体" w:hAnsi="黑体" w:eastAsia="黑体"/>
          <w:kern w:val="2"/>
          <w:sz w:val="32"/>
          <w:szCs w:val="32"/>
        </w:rPr>
        <w:t>、政府性基金预算财政拨款支出决算情况说明</w:t>
      </w:r>
    </w:p>
    <w:p>
      <w:pPr>
        <w:ind w:firstLine="640"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年度</w:t>
      </w:r>
      <w:r>
        <w:rPr>
          <w:rFonts w:hint="eastAsia" w:ascii="仿宋_GB2312" w:hAnsi="仿宋_GB2312" w:eastAsia="仿宋_GB2312" w:cs="仿宋_GB2312"/>
          <w:sz w:val="32"/>
          <w:szCs w:val="32"/>
          <w:lang w:eastAsia="zh-CN"/>
        </w:rPr>
        <w:t>没有</w:t>
      </w:r>
      <w:r>
        <w:rPr>
          <w:rFonts w:hint="eastAsia" w:ascii="仿宋_GB2312" w:hAnsi="仿宋_GB2312" w:eastAsia="仿宋_GB2312" w:cs="仿宋_GB2312"/>
          <w:sz w:val="32"/>
          <w:szCs w:val="32"/>
        </w:rPr>
        <w:t>政府性基金</w:t>
      </w:r>
      <w:r>
        <w:rPr>
          <w:rFonts w:hint="eastAsia" w:ascii="仿宋_GB2312" w:hAnsi="仿宋_GB2312" w:eastAsia="仿宋_GB2312" w:cs="仿宋_GB2312"/>
          <w:sz w:val="32"/>
          <w:szCs w:val="32"/>
          <w:lang w:eastAsia="zh-CN"/>
        </w:rPr>
        <w:t>收入，也没有使用政府性基金安排的支出。</w:t>
      </w:r>
    </w:p>
    <w:p>
      <w:pPr>
        <w:pStyle w:val="4"/>
        <w:autoSpaceDE w:val="0"/>
        <w:spacing w:before="0" w:beforeAutospacing="0" w:after="0" w:afterAutospacing="0" w:line="560" w:lineRule="exact"/>
        <w:ind w:firstLine="640" w:firstLineChars="200"/>
        <w:rPr>
          <w:rFonts w:hint="eastAsia"/>
        </w:rPr>
      </w:pPr>
      <w:r>
        <w:rPr>
          <w:rFonts w:hint="eastAsia" w:ascii="黑体" w:hAnsi="黑体" w:eastAsia="黑体"/>
          <w:kern w:val="2"/>
          <w:sz w:val="32"/>
          <w:szCs w:val="32"/>
          <w:lang w:eastAsia="zh-CN"/>
        </w:rPr>
        <w:t>八</w:t>
      </w:r>
      <w:r>
        <w:rPr>
          <w:rFonts w:hint="eastAsia" w:ascii="黑体" w:hAnsi="黑体" w:eastAsia="黑体"/>
          <w:kern w:val="2"/>
          <w:sz w:val="32"/>
          <w:szCs w:val="32"/>
        </w:rPr>
        <w:t>、机关运行经费支出情况说明</w:t>
      </w:r>
    </w:p>
    <w:p>
      <w:pPr>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年度机关运行经费年初预算为</w:t>
      </w:r>
      <w:r>
        <w:rPr>
          <w:rFonts w:hint="eastAsia" w:ascii="仿宋_GB2312" w:hAnsi="仿宋_GB2312" w:eastAsia="仿宋_GB2312" w:cs="仿宋_GB2312"/>
          <w:sz w:val="32"/>
          <w:szCs w:val="32"/>
          <w:lang w:val="en-US" w:eastAsia="zh-CN"/>
        </w:rPr>
        <w:t>2740.00</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2740.00</w:t>
      </w:r>
      <w:r>
        <w:rPr>
          <w:rFonts w:hint="eastAsia" w:ascii="仿宋_GB2312" w:hAnsi="仿宋_GB2312" w:eastAsia="仿宋_GB2312" w:cs="仿宋_GB2312"/>
          <w:sz w:val="32"/>
          <w:szCs w:val="32"/>
        </w:rPr>
        <w:t>万元，完成年初预算的100%。</w:t>
      </w:r>
    </w:p>
    <w:p>
      <w:pPr>
        <w:pStyle w:val="4"/>
        <w:autoSpaceDE w:val="0"/>
        <w:spacing w:before="0" w:beforeAutospacing="0" w:after="0" w:afterAutospacing="0" w:line="560" w:lineRule="exact"/>
        <w:ind w:firstLine="640" w:firstLineChars="200"/>
        <w:rPr>
          <w:rFonts w:hint="eastAsia"/>
        </w:rPr>
      </w:pPr>
      <w:r>
        <w:rPr>
          <w:rFonts w:hint="eastAsia" w:ascii="黑体" w:hAnsi="黑体" w:eastAsia="黑体"/>
          <w:kern w:val="2"/>
          <w:sz w:val="32"/>
          <w:szCs w:val="32"/>
          <w:lang w:eastAsia="zh-CN"/>
        </w:rPr>
        <w:t>九</w:t>
      </w:r>
      <w:r>
        <w:rPr>
          <w:rFonts w:hint="eastAsia" w:ascii="黑体" w:hAnsi="黑体" w:eastAsia="黑体"/>
          <w:kern w:val="2"/>
          <w:sz w:val="32"/>
          <w:szCs w:val="32"/>
        </w:rPr>
        <w:t>、政府采购支出情况说明</w:t>
      </w:r>
    </w:p>
    <w:p>
      <w:pPr>
        <w:pStyle w:val="4"/>
        <w:autoSpaceDE w:val="0"/>
        <w:spacing w:before="0" w:beforeAutospacing="0" w:after="0" w:afterAutospacing="0" w:line="560" w:lineRule="exact"/>
        <w:ind w:firstLine="640" w:firstLineChars="200"/>
        <w:rPr>
          <w:rFonts w:hint="eastAsia" w:ascii="仿宋" w:hAnsi="仿宋" w:eastAsia="仿宋"/>
          <w:kern w:val="2"/>
          <w:sz w:val="32"/>
          <w:szCs w:val="32"/>
        </w:rPr>
      </w:pPr>
      <w:r>
        <w:rPr>
          <w:rFonts w:hint="eastAsia" w:ascii="仿宋_GB2312" w:hAnsi="仿宋_GB2312" w:eastAsia="仿宋_GB2312" w:cs="仿宋_GB2312"/>
          <w:kern w:val="0"/>
          <w:sz w:val="32"/>
          <w:szCs w:val="32"/>
          <w:lang w:val="en-US" w:eastAsia="zh-CN" w:bidi="ar-SA"/>
        </w:rPr>
        <w:t>2020年度政府采购支出总额756万元</w:t>
      </w:r>
      <w:r>
        <w:rPr>
          <w:rFonts w:hint="eastAsia" w:ascii="仿宋" w:hAnsi="仿宋" w:eastAsia="仿宋"/>
          <w:kern w:val="2"/>
          <w:sz w:val="32"/>
          <w:szCs w:val="32"/>
        </w:rPr>
        <w:t>。</w:t>
      </w:r>
    </w:p>
    <w:p>
      <w:pPr>
        <w:spacing w:line="560" w:lineRule="exact"/>
        <w:ind w:firstLine="640" w:firstLineChars="200"/>
        <w:outlineLvl w:val="1"/>
        <w:rPr>
          <w:rFonts w:hint="eastAsia" w:ascii="黑体" w:hAnsi="黑体" w:eastAsia="黑体"/>
          <w:sz w:val="32"/>
          <w:szCs w:val="32"/>
        </w:rPr>
      </w:pPr>
      <w:r>
        <w:rPr>
          <w:rFonts w:hint="eastAsia" w:ascii="黑体" w:hAnsi="黑体" w:eastAsia="黑体"/>
          <w:sz w:val="32"/>
          <w:szCs w:val="32"/>
        </w:rPr>
        <w:t>十、国有资产占用情况说明</w:t>
      </w:r>
    </w:p>
    <w:p>
      <w:pPr>
        <w:keepNext w:val="0"/>
        <w:keepLines w:val="0"/>
        <w:pageBreakBefore w:val="0"/>
        <w:widowControl/>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年期末，我部门共有车辆</w:t>
      </w:r>
      <w:r>
        <w:rPr>
          <w:rFonts w:hint="eastAsia" w:ascii="仿宋_GB2312" w:hAnsi="仿宋_GB2312" w:eastAsia="仿宋_GB2312" w:cs="仿宋_GB2312"/>
          <w:sz w:val="32"/>
          <w:szCs w:val="32"/>
          <w:lang w:val="en-US" w:eastAsia="zh-CN"/>
        </w:rPr>
        <w:t>28</w:t>
      </w:r>
      <w:r>
        <w:rPr>
          <w:rFonts w:hint="eastAsia" w:ascii="仿宋_GB2312" w:hAnsi="仿宋_GB2312" w:eastAsia="仿宋_GB2312" w:cs="仿宋_GB2312"/>
          <w:sz w:val="32"/>
          <w:szCs w:val="32"/>
        </w:rPr>
        <w:t>辆，其中：执法执勤用车4辆、</w:t>
      </w:r>
      <w:r>
        <w:rPr>
          <w:rFonts w:hint="eastAsia" w:ascii="仿宋_GB2312" w:hAnsi="仿宋_GB2312" w:eastAsia="仿宋_GB2312" w:cs="仿宋_GB2312"/>
          <w:sz w:val="32"/>
          <w:szCs w:val="32"/>
          <w:lang w:eastAsia="zh-CN"/>
        </w:rPr>
        <w:t>特种专业技术用车</w:t>
      </w:r>
      <w:r>
        <w:rPr>
          <w:rFonts w:hint="eastAsia" w:ascii="仿宋_GB2312" w:hAnsi="仿宋_GB2312" w:eastAsia="仿宋_GB2312" w:cs="仿宋_GB2312"/>
          <w:sz w:val="32"/>
          <w:szCs w:val="32"/>
          <w:lang w:val="en-US" w:eastAsia="zh-CN"/>
        </w:rPr>
        <w:t>4辆、</w:t>
      </w:r>
      <w:r>
        <w:rPr>
          <w:rFonts w:hint="eastAsia" w:ascii="仿宋_GB2312" w:hAnsi="仿宋_GB2312" w:eastAsia="仿宋_GB2312" w:cs="仿宋_GB2312"/>
          <w:sz w:val="32"/>
          <w:szCs w:val="32"/>
        </w:rPr>
        <w:t>其他用车</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辆；单位价值50万元以上通用设备0台（套），单位价值100万元以上专用设备0台（套）。</w:t>
      </w:r>
    </w:p>
    <w:p>
      <w:pPr>
        <w:ind w:firstLine="640" w:firstLineChars="200"/>
        <w:jc w:val="left"/>
        <w:rPr>
          <w:rFonts w:hint="eastAsia" w:ascii="仿宋" w:hAnsi="仿宋" w:eastAsia="仿宋"/>
          <w:color w:val="auto"/>
          <w:kern w:val="2"/>
          <w:sz w:val="32"/>
          <w:szCs w:val="32"/>
        </w:rPr>
      </w:pPr>
    </w:p>
    <w:p>
      <w:pPr>
        <w:ind w:firstLine="640" w:firstLineChars="200"/>
        <w:jc w:val="left"/>
        <w:rPr>
          <w:rFonts w:hint="eastAsia" w:ascii="仿宋" w:hAnsi="仿宋" w:eastAsia="仿宋"/>
          <w:color w:val="auto"/>
          <w:kern w:val="2"/>
          <w:sz w:val="32"/>
          <w:szCs w:val="32"/>
        </w:rPr>
      </w:pPr>
    </w:p>
    <w:p>
      <w:pPr>
        <w:keepNext w:val="0"/>
        <w:keepLines w:val="0"/>
        <w:pageBreakBefore w:val="0"/>
        <w:widowControl/>
        <w:kinsoku/>
        <w:wordWrap/>
        <w:overflowPunct/>
        <w:topLinePunct w:val="0"/>
        <w:autoSpaceDE/>
        <w:autoSpaceDN/>
        <w:bidi w:val="0"/>
        <w:adjustRightInd/>
        <w:snapToGrid/>
        <w:spacing w:line="590" w:lineRule="exact"/>
        <w:ind w:left="538" w:leftChars="224" w:firstLine="0" w:firstLineChars="0"/>
        <w:jc w:val="center"/>
        <w:textAlignment w:val="auto"/>
        <w:rPr>
          <w:rFonts w:hint="eastAsia" w:ascii="黑体" w:hAnsi="黑体" w:eastAsia="黑体" w:cs="黑体"/>
          <w:b/>
          <w:kern w:val="2"/>
          <w:sz w:val="44"/>
          <w:szCs w:val="44"/>
        </w:rPr>
      </w:pPr>
      <w:r>
        <w:rPr>
          <w:rFonts w:hint="eastAsia" w:ascii="黑体" w:hAnsi="黑体" w:eastAsia="黑体" w:cs="黑体"/>
          <w:b/>
          <w:kern w:val="2"/>
          <w:sz w:val="44"/>
          <w:szCs w:val="44"/>
        </w:rPr>
        <w:t>第</w:t>
      </w:r>
      <w:r>
        <w:rPr>
          <w:rFonts w:hint="eastAsia" w:ascii="黑体" w:hAnsi="黑体" w:eastAsia="黑体" w:cs="黑体"/>
          <w:b/>
          <w:kern w:val="2"/>
          <w:sz w:val="44"/>
          <w:szCs w:val="44"/>
          <w:lang w:eastAsia="zh-CN"/>
        </w:rPr>
        <w:t>三</w:t>
      </w:r>
      <w:r>
        <w:rPr>
          <w:rFonts w:hint="eastAsia" w:ascii="黑体" w:hAnsi="黑体" w:eastAsia="黑体" w:cs="黑体"/>
          <w:b/>
          <w:kern w:val="2"/>
          <w:sz w:val="44"/>
          <w:szCs w:val="44"/>
        </w:rPr>
        <w:t>部分  名词解释</w:t>
      </w:r>
    </w:p>
    <w:p>
      <w:pPr>
        <w:keepNext w:val="0"/>
        <w:keepLines w:val="0"/>
        <w:pageBreakBefore w:val="0"/>
        <w:widowControl/>
        <w:kinsoku/>
        <w:wordWrap/>
        <w:overflowPunct/>
        <w:topLinePunct w:val="0"/>
        <w:autoSpaceDE/>
        <w:autoSpaceDN/>
        <w:bidi w:val="0"/>
        <w:adjustRightInd/>
        <w:snapToGrid/>
        <w:spacing w:line="590" w:lineRule="exact"/>
        <w:ind w:left="538" w:leftChars="224" w:firstLine="0" w:firstLineChars="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、财政拨款收入：单位从同级政府财政部门取得的财</w:t>
      </w:r>
      <w:r>
        <w:rPr>
          <w:rFonts w:hint="eastAsia" w:ascii="仿宋" w:hAnsi="仿宋" w:eastAsia="仿宋" w:cs="仿宋"/>
          <w:color w:val="auto"/>
          <w:kern w:val="2"/>
          <w:sz w:val="32"/>
          <w:szCs w:val="32"/>
          <w:highlight w:val="none"/>
          <w:lang w:val="en-US" w:eastAsia="zh-CN" w:bidi="ar-SA"/>
        </w:rPr>
        <w:t>政预算资金。</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二、事业收入：事业单位开展专业业务活动及其辅助活动取得的收入。</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三、上级补助收入：事业单位从主管部门和上级单位取得的非财政补助收入。</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四、附属单位上缴收入：事业单位取得附属独立核算单位根据有关规定上缴的收入。</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五、经营收入：事业单位在专业业务活动及其辅助活动之外开展非独立核算经营活动取得的收入。</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六、其他收入：单位取得的除“财政拨款收入”、“事业收入”、“上级补助收入”、“附属单位上缴收入”、“经营收入”以外的各项收入。</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七、用事业基金弥补收支差额：事业单位在当年收入不足以安排当年支出的情况下，使用以前年度积累的事业基金（事业单位当年收支相抵后按国家规定提取、用于弥补以后年度收支差额的基金）弥补当年收支缺口的资金。</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八、基本支出：为保障机构正常运转、完成日常工作任务而发生的人员支出和公用支出。</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九、项目支出：基本支出之外为完成特定行政任务和事业发展目标所发生的支出。</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三公”经费：纳入同级财政预决算管理“三公”经费，指部门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十二、工资福利支出：单位支付给在职职工和编制外长期聘用人员的各类劳动报酬，以及为上述人员缴纳的各项社会保险费等。</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十三、商品和服务支出：单位购买商品和服务的支出。</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十四、对个人和家庭的补助支出：单位用于对个人和家庭的补助支出。</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十五、年末结转：本年度或以前年度预算安排，已执行但尚未完成或因客观条件发生变化无法按原计划实施，需延迟到以后年度按有关规定继续使用的资金。</w:t>
      </w:r>
    </w:p>
    <w:p>
      <w:pPr>
        <w:spacing w:line="590" w:lineRule="exact"/>
        <w:ind w:firstLine="640" w:firstLineChars="200"/>
        <w:rPr>
          <w:rFonts w:hint="eastAsia" w:ascii="仿宋" w:hAnsi="仿宋" w:eastAsia="仿宋" w:cs="仿宋"/>
          <w:b w:val="0"/>
          <w:bCs w:val="0"/>
          <w:sz w:val="32"/>
          <w:szCs w:val="32"/>
          <w:shd w:val="clear" w:fill="FFFFFF"/>
        </w:rPr>
      </w:pPr>
      <w:r>
        <w:rPr>
          <w:rFonts w:hint="eastAsia" w:ascii="仿宋_GB2312" w:hAnsi="仿宋_GB2312" w:eastAsia="仿宋_GB2312" w:cs="仿宋_GB2312"/>
          <w:sz w:val="32"/>
          <w:szCs w:val="32"/>
        </w:rPr>
        <w:t>十六、年末结余：本年度或以前年度预算安排，已执行完毕或因客观条件发生变化无法按原预算安排实施，不需要再使用或无法按原预算安排继续使用的资金。</w:t>
      </w:r>
    </w:p>
    <w:p>
      <w:pPr>
        <w:pStyle w:val="4"/>
        <w:widowControl/>
        <w:numPr>
          <w:ilvl w:val="0"/>
          <w:numId w:val="0"/>
        </w:numPr>
        <w:ind w:firstLine="640" w:firstLineChars="200"/>
        <w:rPr>
          <w:rFonts w:hint="eastAsia" w:ascii="仿宋" w:hAnsi="仿宋" w:eastAsia="仿宋" w:cs="仿宋"/>
          <w:b w:val="0"/>
          <w:bCs w:val="0"/>
          <w:sz w:val="32"/>
          <w:szCs w:val="32"/>
          <w:shd w:val="clear" w:fill="FFFFFF"/>
        </w:rPr>
      </w:pPr>
    </w:p>
    <w:p>
      <w:pPr>
        <w:pStyle w:val="4"/>
        <w:widowControl/>
        <w:numPr>
          <w:ilvl w:val="0"/>
          <w:numId w:val="0"/>
        </w:numPr>
        <w:ind w:firstLine="640" w:firstLineChars="200"/>
        <w:rPr>
          <w:rFonts w:hint="eastAsia" w:ascii="仿宋" w:hAnsi="仿宋" w:eastAsia="仿宋" w:cs="仿宋"/>
          <w:b w:val="0"/>
          <w:bCs w:val="0"/>
          <w:sz w:val="32"/>
          <w:szCs w:val="32"/>
          <w:shd w:val="clear" w:fill="FFFFFF"/>
        </w:rPr>
      </w:pPr>
    </w:p>
    <w:p>
      <w:pPr>
        <w:pStyle w:val="4"/>
        <w:widowControl/>
        <w:numPr>
          <w:ilvl w:val="0"/>
          <w:numId w:val="0"/>
        </w:numPr>
        <w:ind w:firstLine="640" w:firstLineChars="200"/>
        <w:rPr>
          <w:rFonts w:hint="eastAsia" w:ascii="仿宋" w:hAnsi="仿宋" w:eastAsia="仿宋" w:cs="仿宋"/>
          <w:b w:val="0"/>
          <w:bCs w:val="0"/>
          <w:sz w:val="32"/>
          <w:szCs w:val="32"/>
          <w:shd w:val="clear" w:fill="FFFFFF"/>
        </w:rPr>
      </w:pPr>
    </w:p>
    <w:p>
      <w:pPr>
        <w:pStyle w:val="4"/>
        <w:widowControl/>
        <w:numPr>
          <w:ilvl w:val="0"/>
          <w:numId w:val="0"/>
        </w:numPr>
        <w:ind w:firstLine="640" w:firstLineChars="200"/>
        <w:rPr>
          <w:rFonts w:hint="eastAsia" w:ascii="仿宋" w:hAnsi="仿宋" w:eastAsia="仿宋" w:cs="仿宋"/>
          <w:b w:val="0"/>
          <w:bCs w:val="0"/>
          <w:sz w:val="32"/>
          <w:szCs w:val="32"/>
          <w:shd w:val="clear" w:fill="FFFFFF"/>
        </w:rPr>
      </w:pPr>
    </w:p>
    <w:p>
      <w:pPr>
        <w:pStyle w:val="4"/>
        <w:widowControl/>
        <w:numPr>
          <w:ilvl w:val="0"/>
          <w:numId w:val="0"/>
        </w:numPr>
        <w:rPr>
          <w:rFonts w:hint="eastAsia" w:ascii="仿宋" w:hAnsi="仿宋" w:eastAsia="仿宋" w:cs="仿宋"/>
          <w:b w:val="0"/>
          <w:bCs w:val="0"/>
          <w:sz w:val="32"/>
          <w:szCs w:val="32"/>
          <w:shd w:val="clear" w:fill="FFFFFF"/>
        </w:rPr>
      </w:pPr>
      <w:bookmarkStart w:id="0" w:name="_GoBack"/>
      <w:bookmarkEnd w:id="0"/>
    </w:p>
    <w:p>
      <w:pPr>
        <w:jc w:val="center"/>
        <w:outlineLvl w:val="0"/>
        <w:rPr>
          <w:rFonts w:hint="eastAsia" w:ascii="黑体" w:hAnsi="黑体" w:eastAsia="黑体" w:cs="黑体"/>
          <w:sz w:val="44"/>
          <w:szCs w:val="44"/>
          <w:lang w:eastAsia="zh-CN"/>
        </w:rPr>
      </w:pPr>
      <w:r>
        <w:rPr>
          <w:rFonts w:hint="eastAsia" w:ascii="黑体" w:hAnsi="黑体" w:eastAsia="黑体" w:cs="黑体"/>
          <w:sz w:val="44"/>
          <w:szCs w:val="44"/>
          <w:lang w:eastAsia="zh-CN"/>
        </w:rPr>
        <w:t>第四部分</w:t>
      </w:r>
    </w:p>
    <w:p>
      <w:pPr>
        <w:jc w:val="center"/>
        <w:rPr>
          <w:rFonts w:hint="eastAsia" w:ascii="黑体" w:hAnsi="黑体" w:eastAsia="黑体" w:cs="黑体"/>
          <w:sz w:val="44"/>
          <w:szCs w:val="44"/>
        </w:rPr>
      </w:pPr>
      <w:r>
        <w:rPr>
          <w:rFonts w:hint="eastAsia" w:ascii="黑体" w:hAnsi="黑体" w:eastAsia="黑体" w:cs="黑体"/>
          <w:sz w:val="44"/>
          <w:szCs w:val="44"/>
          <w:lang w:eastAsia="zh-CN"/>
        </w:rPr>
        <w:t>信阳市上天梯非金属矿管理区</w:t>
      </w:r>
      <w:r>
        <w:rPr>
          <w:rFonts w:hint="eastAsia" w:ascii="黑体" w:hAnsi="黑体" w:eastAsia="黑体" w:cs="黑体"/>
          <w:sz w:val="44"/>
          <w:szCs w:val="44"/>
        </w:rPr>
        <w:t>2020年度</w:t>
      </w:r>
    </w:p>
    <w:p>
      <w:pPr>
        <w:jc w:val="center"/>
        <w:rPr>
          <w:rFonts w:ascii="黑体" w:hAnsi="黑体" w:eastAsia="黑体" w:cs="黑体"/>
          <w:sz w:val="48"/>
          <w:szCs w:val="48"/>
        </w:rPr>
      </w:pPr>
      <w:r>
        <w:rPr>
          <w:rFonts w:hint="eastAsia" w:ascii="黑体" w:hAnsi="黑体" w:eastAsia="黑体" w:cs="黑体"/>
          <w:sz w:val="44"/>
          <w:szCs w:val="44"/>
        </w:rPr>
        <w:t>部门决算公开表</w:t>
      </w:r>
    </w:p>
    <w:p>
      <w:pPr>
        <w:rPr>
          <w:rFonts w:ascii="黑体" w:eastAsia="黑体"/>
          <w:color w:val="000000"/>
          <w:sz w:val="28"/>
          <w:szCs w:val="28"/>
        </w:rPr>
      </w:pPr>
    </w:p>
    <w:p>
      <w:pPr>
        <w:rPr>
          <w:rFonts w:ascii="黑体" w:eastAsia="黑体"/>
          <w:color w:val="000000"/>
          <w:sz w:val="28"/>
          <w:szCs w:val="28"/>
        </w:rPr>
      </w:pPr>
    </w:p>
    <w:p>
      <w:pPr>
        <w:rPr>
          <w:rFonts w:ascii="黑体" w:eastAsia="黑体"/>
          <w:color w:val="000000"/>
          <w:sz w:val="28"/>
          <w:szCs w:val="28"/>
        </w:rPr>
      </w:pPr>
    </w:p>
    <w:p>
      <w:pPr>
        <w:rPr>
          <w:rFonts w:ascii="黑体" w:eastAsia="黑体"/>
          <w:color w:val="000000"/>
          <w:sz w:val="28"/>
          <w:szCs w:val="28"/>
        </w:rPr>
      </w:pPr>
    </w:p>
    <w:p>
      <w:pPr>
        <w:rPr>
          <w:rFonts w:ascii="黑体" w:eastAsia="黑体"/>
          <w:color w:val="000000"/>
          <w:sz w:val="28"/>
          <w:szCs w:val="28"/>
        </w:rPr>
      </w:pPr>
    </w:p>
    <w:p>
      <w:pPr>
        <w:rPr>
          <w:rFonts w:ascii="黑体" w:eastAsia="黑体"/>
          <w:color w:val="000000"/>
          <w:sz w:val="28"/>
          <w:szCs w:val="28"/>
        </w:rPr>
      </w:pPr>
    </w:p>
    <w:p>
      <w:pPr>
        <w:rPr>
          <w:rFonts w:ascii="黑体" w:eastAsia="黑体"/>
          <w:color w:val="000000"/>
          <w:sz w:val="28"/>
          <w:szCs w:val="28"/>
        </w:rPr>
      </w:pPr>
    </w:p>
    <w:p>
      <w:pPr>
        <w:rPr>
          <w:rFonts w:ascii="黑体" w:eastAsia="黑体"/>
          <w:color w:val="000000"/>
          <w:sz w:val="28"/>
          <w:szCs w:val="28"/>
        </w:rPr>
      </w:pPr>
    </w:p>
    <w:p>
      <w:pPr>
        <w:rPr>
          <w:rFonts w:ascii="黑体" w:eastAsia="黑体"/>
          <w:color w:val="000000"/>
          <w:sz w:val="28"/>
          <w:szCs w:val="28"/>
        </w:rPr>
      </w:pPr>
    </w:p>
    <w:p>
      <w:pPr>
        <w:rPr>
          <w:rFonts w:ascii="黑体" w:eastAsia="黑体"/>
          <w:color w:val="000000"/>
          <w:sz w:val="28"/>
          <w:szCs w:val="28"/>
        </w:rPr>
      </w:pPr>
    </w:p>
    <w:p>
      <w:pPr>
        <w:rPr>
          <w:rFonts w:ascii="黑体" w:eastAsia="黑体"/>
          <w:color w:val="000000"/>
          <w:sz w:val="28"/>
          <w:szCs w:val="28"/>
        </w:rPr>
      </w:pPr>
    </w:p>
    <w:p>
      <w:pPr>
        <w:rPr>
          <w:rFonts w:ascii="黑体" w:eastAsia="黑体"/>
          <w:color w:val="000000"/>
          <w:sz w:val="28"/>
          <w:szCs w:val="28"/>
        </w:rPr>
      </w:pPr>
    </w:p>
    <w:p>
      <w:pPr>
        <w:rPr>
          <w:rFonts w:ascii="黑体" w:eastAsia="黑体"/>
          <w:color w:val="000000"/>
          <w:sz w:val="28"/>
          <w:szCs w:val="28"/>
        </w:rPr>
      </w:pPr>
    </w:p>
    <w:p>
      <w:pPr>
        <w:rPr>
          <w:rFonts w:ascii="黑体" w:eastAsia="黑体"/>
          <w:color w:val="000000"/>
          <w:sz w:val="28"/>
          <w:szCs w:val="28"/>
        </w:rPr>
      </w:pPr>
    </w:p>
    <w:p>
      <w:pPr>
        <w:rPr>
          <w:rFonts w:ascii="黑体" w:eastAsia="黑体"/>
          <w:color w:val="000000"/>
          <w:sz w:val="28"/>
          <w:szCs w:val="28"/>
        </w:rPr>
      </w:pPr>
    </w:p>
    <w:p>
      <w:pPr>
        <w:rPr>
          <w:rFonts w:ascii="黑体" w:eastAsia="黑体"/>
          <w:color w:val="000000"/>
          <w:sz w:val="28"/>
          <w:szCs w:val="28"/>
        </w:rPr>
      </w:pPr>
    </w:p>
    <w:p>
      <w:r>
        <w:rPr>
          <w:rFonts w:hint="eastAsia" w:ascii="仿宋_GB2312" w:eastAsia="仿宋_GB2312"/>
          <w:color w:val="000000"/>
          <w:sz w:val="32"/>
          <w:szCs w:val="32"/>
        </w:rPr>
        <w:t>说明：表中单元格数据为空时，表示该单元格数据为零；整张表数据为空时，表示部门该表中所有数据均为零，当年无表中相关收支。</w:t>
      </w:r>
    </w:p>
    <w:sectPr>
      <w:pgSz w:w="11907" w:h="16840"/>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隶书">
    <w:panose1 w:val="0201050906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4C38AE6"/>
    <w:multiLevelType w:val="singleLevel"/>
    <w:tmpl w:val="C4C38AE6"/>
    <w:lvl w:ilvl="0" w:tentative="0">
      <w:start w:val="1"/>
      <w:numFmt w:val="chineseCounting"/>
      <w:suff w:val="nothing"/>
      <w:lvlText w:val="第%1部分　"/>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80C49"/>
    <w:rsid w:val="0005518E"/>
    <w:rsid w:val="000D3621"/>
    <w:rsid w:val="001C7E92"/>
    <w:rsid w:val="00380C49"/>
    <w:rsid w:val="00463B25"/>
    <w:rsid w:val="004C77BC"/>
    <w:rsid w:val="00582974"/>
    <w:rsid w:val="006C602E"/>
    <w:rsid w:val="007169BE"/>
    <w:rsid w:val="008F0429"/>
    <w:rsid w:val="009008AB"/>
    <w:rsid w:val="00B07176"/>
    <w:rsid w:val="00B30B3E"/>
    <w:rsid w:val="00C53051"/>
    <w:rsid w:val="00C55389"/>
    <w:rsid w:val="00C73F3D"/>
    <w:rsid w:val="00CA1E5C"/>
    <w:rsid w:val="00CB1114"/>
    <w:rsid w:val="00CE118F"/>
    <w:rsid w:val="00D14FCA"/>
    <w:rsid w:val="00D45C75"/>
    <w:rsid w:val="00D60397"/>
    <w:rsid w:val="00E91CCC"/>
    <w:rsid w:val="00FD03C9"/>
    <w:rsid w:val="01236520"/>
    <w:rsid w:val="01FC3253"/>
    <w:rsid w:val="024A5E85"/>
    <w:rsid w:val="02611705"/>
    <w:rsid w:val="02682869"/>
    <w:rsid w:val="03273553"/>
    <w:rsid w:val="039A3248"/>
    <w:rsid w:val="064B0E43"/>
    <w:rsid w:val="06EF6DC5"/>
    <w:rsid w:val="08512784"/>
    <w:rsid w:val="09812D24"/>
    <w:rsid w:val="09C461FE"/>
    <w:rsid w:val="0AB6611C"/>
    <w:rsid w:val="0B401FF9"/>
    <w:rsid w:val="0B9C3825"/>
    <w:rsid w:val="0C161E2C"/>
    <w:rsid w:val="0CF125F7"/>
    <w:rsid w:val="0D3C3A67"/>
    <w:rsid w:val="0E3C5D6D"/>
    <w:rsid w:val="0E57343F"/>
    <w:rsid w:val="0ED32B0A"/>
    <w:rsid w:val="0F66352B"/>
    <w:rsid w:val="11D11886"/>
    <w:rsid w:val="120C5B8B"/>
    <w:rsid w:val="12882BFD"/>
    <w:rsid w:val="129A2999"/>
    <w:rsid w:val="12D76763"/>
    <w:rsid w:val="140C10BF"/>
    <w:rsid w:val="145904B7"/>
    <w:rsid w:val="1495742B"/>
    <w:rsid w:val="152806DE"/>
    <w:rsid w:val="154F0D44"/>
    <w:rsid w:val="15A84476"/>
    <w:rsid w:val="160304BA"/>
    <w:rsid w:val="16092695"/>
    <w:rsid w:val="16415D23"/>
    <w:rsid w:val="16757DEE"/>
    <w:rsid w:val="18407311"/>
    <w:rsid w:val="185B569D"/>
    <w:rsid w:val="19B6037D"/>
    <w:rsid w:val="1A7619E2"/>
    <w:rsid w:val="1AC33969"/>
    <w:rsid w:val="1B351589"/>
    <w:rsid w:val="1BCE38D9"/>
    <w:rsid w:val="1C163F98"/>
    <w:rsid w:val="1C446CBF"/>
    <w:rsid w:val="1C7D4892"/>
    <w:rsid w:val="1E6A365A"/>
    <w:rsid w:val="1F860FB5"/>
    <w:rsid w:val="20322C88"/>
    <w:rsid w:val="20827857"/>
    <w:rsid w:val="20D12947"/>
    <w:rsid w:val="22094C4B"/>
    <w:rsid w:val="22C056E5"/>
    <w:rsid w:val="27F5748A"/>
    <w:rsid w:val="280F6AA1"/>
    <w:rsid w:val="28F213DF"/>
    <w:rsid w:val="29D10653"/>
    <w:rsid w:val="2A16102C"/>
    <w:rsid w:val="2A5F76DA"/>
    <w:rsid w:val="2B7F4660"/>
    <w:rsid w:val="2BE601A9"/>
    <w:rsid w:val="2C145DB1"/>
    <w:rsid w:val="2C424998"/>
    <w:rsid w:val="2E64145F"/>
    <w:rsid w:val="2F2B34F8"/>
    <w:rsid w:val="309020B7"/>
    <w:rsid w:val="313C6950"/>
    <w:rsid w:val="323A3DF0"/>
    <w:rsid w:val="32942382"/>
    <w:rsid w:val="32987A8A"/>
    <w:rsid w:val="32D11CA5"/>
    <w:rsid w:val="34BC18A2"/>
    <w:rsid w:val="352E1D52"/>
    <w:rsid w:val="358B30C1"/>
    <w:rsid w:val="37903F33"/>
    <w:rsid w:val="39EB0F37"/>
    <w:rsid w:val="3A5B1283"/>
    <w:rsid w:val="3BC55B6F"/>
    <w:rsid w:val="3D0F3918"/>
    <w:rsid w:val="3D2F7778"/>
    <w:rsid w:val="3DB971A1"/>
    <w:rsid w:val="3DCF328A"/>
    <w:rsid w:val="3DE93DE8"/>
    <w:rsid w:val="3F477A0E"/>
    <w:rsid w:val="40AD306B"/>
    <w:rsid w:val="40B42C34"/>
    <w:rsid w:val="40F9282C"/>
    <w:rsid w:val="410E090C"/>
    <w:rsid w:val="411064D8"/>
    <w:rsid w:val="411A4820"/>
    <w:rsid w:val="41A85F46"/>
    <w:rsid w:val="42812746"/>
    <w:rsid w:val="428E051A"/>
    <w:rsid w:val="43232565"/>
    <w:rsid w:val="43462D11"/>
    <w:rsid w:val="44104D03"/>
    <w:rsid w:val="44A25A6D"/>
    <w:rsid w:val="453D5D12"/>
    <w:rsid w:val="45921443"/>
    <w:rsid w:val="466C5F7C"/>
    <w:rsid w:val="46B92351"/>
    <w:rsid w:val="46C964EB"/>
    <w:rsid w:val="47971BFD"/>
    <w:rsid w:val="48055ED5"/>
    <w:rsid w:val="48A12368"/>
    <w:rsid w:val="498E3AF7"/>
    <w:rsid w:val="4A531F03"/>
    <w:rsid w:val="4A8E31C2"/>
    <w:rsid w:val="4B053007"/>
    <w:rsid w:val="4D330E78"/>
    <w:rsid w:val="4EC81FF2"/>
    <w:rsid w:val="4EEA022D"/>
    <w:rsid w:val="50415CCC"/>
    <w:rsid w:val="505C2225"/>
    <w:rsid w:val="51844BBE"/>
    <w:rsid w:val="52604FA6"/>
    <w:rsid w:val="52CA7EB1"/>
    <w:rsid w:val="53D312DE"/>
    <w:rsid w:val="54734E9E"/>
    <w:rsid w:val="55846ECE"/>
    <w:rsid w:val="55CE4E6A"/>
    <w:rsid w:val="56197779"/>
    <w:rsid w:val="56F16A7B"/>
    <w:rsid w:val="58CE38FE"/>
    <w:rsid w:val="58FE5DAA"/>
    <w:rsid w:val="59B02686"/>
    <w:rsid w:val="5B1C65FE"/>
    <w:rsid w:val="5B2E7E2E"/>
    <w:rsid w:val="5B9C0473"/>
    <w:rsid w:val="5C4A3214"/>
    <w:rsid w:val="5CD8433F"/>
    <w:rsid w:val="5D1A299C"/>
    <w:rsid w:val="5D775087"/>
    <w:rsid w:val="5E2B2E56"/>
    <w:rsid w:val="606C5DAE"/>
    <w:rsid w:val="607935F7"/>
    <w:rsid w:val="60ED560E"/>
    <w:rsid w:val="61332ECE"/>
    <w:rsid w:val="62FA796A"/>
    <w:rsid w:val="63851ED3"/>
    <w:rsid w:val="657E1833"/>
    <w:rsid w:val="66712622"/>
    <w:rsid w:val="670E5A9A"/>
    <w:rsid w:val="68200D77"/>
    <w:rsid w:val="68AB243E"/>
    <w:rsid w:val="68B04676"/>
    <w:rsid w:val="68EB35CD"/>
    <w:rsid w:val="69465D5A"/>
    <w:rsid w:val="69C123C1"/>
    <w:rsid w:val="69F74D3E"/>
    <w:rsid w:val="6A443ED3"/>
    <w:rsid w:val="6B8B51DE"/>
    <w:rsid w:val="6BA33955"/>
    <w:rsid w:val="6BFB3A87"/>
    <w:rsid w:val="6C744716"/>
    <w:rsid w:val="6DEC4352"/>
    <w:rsid w:val="6E390505"/>
    <w:rsid w:val="6E644847"/>
    <w:rsid w:val="6F3A6363"/>
    <w:rsid w:val="70484089"/>
    <w:rsid w:val="70D97495"/>
    <w:rsid w:val="72990695"/>
    <w:rsid w:val="731C6561"/>
    <w:rsid w:val="735F76DD"/>
    <w:rsid w:val="73BB6C6F"/>
    <w:rsid w:val="74803833"/>
    <w:rsid w:val="74994456"/>
    <w:rsid w:val="77B50DCB"/>
    <w:rsid w:val="78856BAA"/>
    <w:rsid w:val="794964CC"/>
    <w:rsid w:val="799A0320"/>
    <w:rsid w:val="7A866B4F"/>
    <w:rsid w:val="7B3D04E8"/>
    <w:rsid w:val="7B8372F0"/>
    <w:rsid w:val="7C915D05"/>
    <w:rsid w:val="7CFE78D5"/>
    <w:rsid w:val="7D2C1D6E"/>
    <w:rsid w:val="7D320D89"/>
    <w:rsid w:val="7DE03E1A"/>
    <w:rsid w:val="7ECC71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kern w:val="0"/>
      <w:sz w:val="24"/>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spacing w:before="100" w:beforeAutospacing="1" w:after="100" w:afterAutospacing="1"/>
    </w:pPr>
  </w:style>
  <w:style w:type="character" w:styleId="7">
    <w:name w:val="Strong"/>
    <w:basedOn w:val="6"/>
    <w:qFormat/>
    <w:uiPriority w:val="0"/>
    <w:rPr>
      <w:b/>
    </w:rPr>
  </w:style>
  <w:style w:type="character" w:customStyle="1" w:styleId="8">
    <w:name w:val="页眉 Char"/>
    <w:basedOn w:val="6"/>
    <w:link w:val="3"/>
    <w:semiHidden/>
    <w:qFormat/>
    <w:uiPriority w:val="99"/>
    <w:rPr>
      <w:rFonts w:ascii="宋体" w:hAnsi="宋体" w:eastAsia="宋体" w:cs="宋体"/>
      <w:kern w:val="0"/>
      <w:sz w:val="18"/>
      <w:szCs w:val="18"/>
    </w:rPr>
  </w:style>
  <w:style w:type="character" w:customStyle="1" w:styleId="9">
    <w:name w:val="页脚 Char"/>
    <w:basedOn w:val="6"/>
    <w:link w:val="2"/>
    <w:semiHidden/>
    <w:qFormat/>
    <w:uiPriority w:val="99"/>
    <w:rPr>
      <w:rFonts w:ascii="宋体" w:hAnsi="宋体" w:eastAsia="宋体" w:cs="宋体"/>
      <w:kern w:val="0"/>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11</Pages>
  <Words>666</Words>
  <Characters>3797</Characters>
  <Lines>31</Lines>
  <Paragraphs>8</Paragraphs>
  <TotalTime>13</TotalTime>
  <ScaleCrop>false</ScaleCrop>
  <LinksUpToDate>false</LinksUpToDate>
  <CharactersWithSpaces>4455</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2021-08-31T09:19:00Z</dcterms:created>
  <dc:creator>Administrator</dc:creator>
  <cp:lastModifiedBy>Administrator</cp:lastModifiedBy>
  <cp:lastPrinted>2021-09-08T01:32:00Z</cp:lastPrinted>
  <dcterms:modified xsi:type="dcterms:W3CDTF">2021-09-15T01:02:05Z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A017876EDE9B427ABCC927955615D31F</vt:lpwstr>
  </property>
</Properties>
</file>